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14:paraId="0DA4A645" w14:textId="77777777" w:rsidTr="004C253C">
        <w:trPr>
          <w:trHeight w:val="784"/>
          <w:jc w:val="center"/>
        </w:trPr>
        <w:tc>
          <w:tcPr>
            <w:tcW w:w="2547" w:type="dxa"/>
            <w:tcBorders>
              <w:bottom w:val="single" w:sz="4" w:space="0" w:color="auto"/>
            </w:tcBorders>
            <w:shd w:val="clear" w:color="auto" w:fill="FFFFFF" w:themeFill="background1"/>
            <w:vAlign w:val="center"/>
          </w:tcPr>
          <w:p w14:paraId="74332E7F" w14:textId="01A1EBBB" w:rsidR="00DC5BF0" w:rsidRPr="00EE1636" w:rsidRDefault="00B3589D" w:rsidP="00EB1BBA">
            <w:r w:rsidRPr="00EE1636">
              <w:t>Action</w:t>
            </w:r>
            <w:r w:rsidR="001F3366" w:rsidRPr="00EE1636">
              <w:t xml:space="preserve"> </w:t>
            </w:r>
            <w:r w:rsidR="006D4294">
              <w:t>n°4</w:t>
            </w:r>
          </w:p>
        </w:tc>
        <w:tc>
          <w:tcPr>
            <w:tcW w:w="6973" w:type="dxa"/>
            <w:gridSpan w:val="4"/>
            <w:tcBorders>
              <w:bottom w:val="single" w:sz="4" w:space="0" w:color="auto"/>
            </w:tcBorders>
            <w:shd w:val="clear" w:color="auto" w:fill="FFFFFF" w:themeFill="background1"/>
            <w:vAlign w:val="center"/>
          </w:tcPr>
          <w:p w14:paraId="6A8BBB7D" w14:textId="28123221" w:rsidR="000F65D0" w:rsidRPr="00EE1636" w:rsidRDefault="00373DF8" w:rsidP="00BA67BA">
            <w:pPr>
              <w:jc w:val="center"/>
              <w:rPr>
                <w:rFonts w:ascii="Arial" w:hAnsi="Arial" w:cs="Arial"/>
                <w:b/>
                <w:sz w:val="20"/>
                <w:szCs w:val="20"/>
              </w:rPr>
            </w:pPr>
            <w:r>
              <w:rPr>
                <w:rFonts w:ascii="Arial" w:hAnsi="Arial" w:cs="Arial"/>
                <w:b/>
                <w:sz w:val="20"/>
                <w:szCs w:val="20"/>
              </w:rPr>
              <w:t>Être</w:t>
            </w:r>
            <w:r w:rsidR="0023099A">
              <w:rPr>
                <w:rFonts w:ascii="Arial" w:hAnsi="Arial" w:cs="Arial"/>
                <w:b/>
                <w:sz w:val="20"/>
                <w:szCs w:val="20"/>
              </w:rPr>
              <w:t xml:space="preserve"> acteur de Ma santé</w:t>
            </w:r>
          </w:p>
        </w:tc>
      </w:tr>
      <w:tr w:rsidR="00BA67BA" w:rsidRPr="00697F84" w14:paraId="7BCC0CE7" w14:textId="77777777" w:rsidTr="00EE1636">
        <w:trPr>
          <w:jc w:val="center"/>
        </w:trPr>
        <w:tc>
          <w:tcPr>
            <w:tcW w:w="2547" w:type="dxa"/>
            <w:tcBorders>
              <w:left w:val="nil"/>
              <w:right w:val="nil"/>
            </w:tcBorders>
            <w:shd w:val="clear" w:color="auto" w:fill="FFFFFF" w:themeFill="background1"/>
            <w:vAlign w:val="center"/>
          </w:tcPr>
          <w:p w14:paraId="008B6236" w14:textId="77777777" w:rsidR="00BA67BA" w:rsidRPr="00697F84" w:rsidRDefault="00BA67BA" w:rsidP="00BA67BA">
            <w:pPr>
              <w:rPr>
                <w:rFonts w:ascii="Arial" w:hAnsi="Arial" w:cs="Arial"/>
                <w:b/>
                <w:sz w:val="20"/>
                <w:szCs w:val="20"/>
              </w:rPr>
            </w:pPr>
          </w:p>
        </w:tc>
        <w:tc>
          <w:tcPr>
            <w:tcW w:w="6973" w:type="dxa"/>
            <w:gridSpan w:val="4"/>
            <w:tcBorders>
              <w:left w:val="nil"/>
              <w:right w:val="nil"/>
            </w:tcBorders>
          </w:tcPr>
          <w:p w14:paraId="7E436D7B" w14:textId="77777777" w:rsidR="00BA67BA" w:rsidRPr="00697F84" w:rsidRDefault="00BA67BA" w:rsidP="003C7858">
            <w:pPr>
              <w:jc w:val="both"/>
              <w:rPr>
                <w:rFonts w:ascii="Arial" w:hAnsi="Arial" w:cs="Arial"/>
                <w:noProof/>
                <w:sz w:val="20"/>
                <w:szCs w:val="20"/>
              </w:rPr>
            </w:pPr>
          </w:p>
        </w:tc>
      </w:tr>
      <w:tr w:rsidR="00354DE9" w:rsidRPr="00354DE9" w14:paraId="7EC34BA6" w14:textId="77777777" w:rsidTr="00EE1636">
        <w:trPr>
          <w:trHeight w:val="487"/>
          <w:jc w:val="center"/>
        </w:trPr>
        <w:tc>
          <w:tcPr>
            <w:tcW w:w="2547" w:type="dxa"/>
            <w:shd w:val="clear" w:color="auto" w:fill="FFFFFF" w:themeFill="background1"/>
            <w:vAlign w:val="center"/>
          </w:tcPr>
          <w:p w14:paraId="5E180402" w14:textId="77777777" w:rsidR="00003907" w:rsidRPr="00354DE9" w:rsidRDefault="00003907" w:rsidP="00732671">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14:paraId="5A5EB7F0" w14:textId="44ACC157" w:rsidR="00003907" w:rsidRPr="00354DE9" w:rsidRDefault="0023099A" w:rsidP="00F13FAB">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6D4294">
              <w:rPr>
                <w:rFonts w:ascii="Arial" w:hAnsi="Arial" w:cs="Arial"/>
                <w:sz w:val="20"/>
                <w:szCs w:val="20"/>
              </w:rPr>
              <w:fldChar w:fldCharType="begin">
                <w:ffData>
                  <w:name w:val=""/>
                  <w:enabled/>
                  <w:calcOnExit w:val="0"/>
                  <w:checkBox>
                    <w:sizeAuto/>
                    <w:default w:val="1"/>
                  </w:checkBox>
                </w:ffData>
              </w:fldChar>
            </w:r>
            <w:r w:rsidR="006D4294">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006D4294">
              <w:rPr>
                <w:rFonts w:ascii="Arial" w:hAnsi="Arial" w:cs="Arial"/>
                <w:sz w:val="20"/>
                <w:szCs w:val="20"/>
              </w:rPr>
              <w:fldChar w:fldCharType="end"/>
            </w:r>
            <w:r w:rsidR="00003907" w:rsidRPr="00354DE9">
              <w:rPr>
                <w:rFonts w:ascii="Arial" w:hAnsi="Arial" w:cs="Arial"/>
                <w:sz w:val="20"/>
                <w:szCs w:val="20"/>
              </w:rPr>
              <w:t xml:space="preserve"> Action expérimentale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Action </w:t>
            </w:r>
            <w:r w:rsidR="00697F84" w:rsidRPr="00354DE9">
              <w:rPr>
                <w:rFonts w:ascii="Arial" w:hAnsi="Arial" w:cs="Arial"/>
                <w:sz w:val="20"/>
                <w:szCs w:val="20"/>
              </w:rPr>
              <w:t>existante</w:t>
            </w:r>
            <w:r w:rsidR="00003907" w:rsidRPr="00354DE9">
              <w:rPr>
                <w:rFonts w:ascii="Arial" w:hAnsi="Arial" w:cs="Arial"/>
                <w:sz w:val="20"/>
                <w:szCs w:val="20"/>
              </w:rPr>
              <w:t xml:space="preserve"> </w:t>
            </w:r>
            <w:r w:rsidR="00F13FAB">
              <w:rPr>
                <w:rFonts w:ascii="Arial" w:hAnsi="Arial" w:cs="Arial"/>
                <w:sz w:val="20"/>
                <w:szCs w:val="20"/>
              </w:rPr>
              <w:t xml:space="preserve">  </w:t>
            </w:r>
          </w:p>
        </w:tc>
      </w:tr>
      <w:tr w:rsidR="00CE2A16" w:rsidRPr="00354DE9" w14:paraId="2ADE6676" w14:textId="77777777" w:rsidTr="00EE1636">
        <w:trPr>
          <w:trHeight w:val="323"/>
          <w:jc w:val="center"/>
        </w:trPr>
        <w:tc>
          <w:tcPr>
            <w:tcW w:w="2547" w:type="dxa"/>
            <w:vMerge w:val="restart"/>
            <w:shd w:val="clear" w:color="auto" w:fill="FFFFFF" w:themeFill="background1"/>
            <w:vAlign w:val="center"/>
          </w:tcPr>
          <w:p w14:paraId="253A1ADD" w14:textId="77777777" w:rsidR="00CE2A16" w:rsidRPr="00354DE9" w:rsidRDefault="001514A1" w:rsidP="008347D6">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D9D9D9" w:themeFill="background1" w:themeFillShade="D9"/>
            <w:vAlign w:val="center"/>
          </w:tcPr>
          <w:p w14:paraId="412557FE" w14:textId="77777777"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vAlign w:val="center"/>
          </w:tcPr>
          <w:p w14:paraId="50AD7E98" w14:textId="0677E20D" w:rsidR="00CE2A16" w:rsidRPr="00CB1869" w:rsidRDefault="0023099A" w:rsidP="00CB1869">
            <w:pPr>
              <w:rPr>
                <w:rFonts w:ascii="Arial" w:hAnsi="Arial" w:cs="Arial"/>
                <w:i/>
                <w:sz w:val="20"/>
                <w:szCs w:val="20"/>
              </w:rPr>
            </w:pPr>
            <w:r>
              <w:rPr>
                <w:rFonts w:ascii="Arial" w:hAnsi="Arial" w:cs="Arial"/>
                <w:i/>
                <w:sz w:val="20"/>
                <w:szCs w:val="20"/>
              </w:rPr>
              <w:t>Pole d’équilibre territorial Rural</w:t>
            </w:r>
            <w:r w:rsidR="006D4294">
              <w:rPr>
                <w:rFonts w:ascii="Arial" w:hAnsi="Arial" w:cs="Arial"/>
                <w:i/>
                <w:sz w:val="20"/>
                <w:szCs w:val="20"/>
              </w:rPr>
              <w:t xml:space="preserve"> Pays de Saverne Plaine et Plateau</w:t>
            </w:r>
          </w:p>
        </w:tc>
      </w:tr>
      <w:tr w:rsidR="00CE2A16" w:rsidRPr="00354DE9" w14:paraId="37B6BFFE" w14:textId="77777777" w:rsidTr="00EE1636">
        <w:trPr>
          <w:trHeight w:val="322"/>
          <w:jc w:val="center"/>
        </w:trPr>
        <w:tc>
          <w:tcPr>
            <w:tcW w:w="2547" w:type="dxa"/>
            <w:vMerge/>
            <w:shd w:val="clear" w:color="auto" w:fill="FFFFFF" w:themeFill="background1"/>
            <w:vAlign w:val="center"/>
          </w:tcPr>
          <w:p w14:paraId="310D7D28" w14:textId="77777777" w:rsidR="00CE2A16" w:rsidRPr="00354DE9" w:rsidRDefault="00CE2A16" w:rsidP="008347D6">
            <w:pPr>
              <w:rPr>
                <w:rFonts w:ascii="Arial" w:hAnsi="Arial" w:cs="Arial"/>
                <w:b/>
                <w:sz w:val="20"/>
                <w:szCs w:val="20"/>
              </w:rPr>
            </w:pPr>
          </w:p>
        </w:tc>
        <w:tc>
          <w:tcPr>
            <w:tcW w:w="1701" w:type="dxa"/>
            <w:shd w:val="clear" w:color="auto" w:fill="D9D9D9" w:themeFill="background1" w:themeFillShade="D9"/>
            <w:vAlign w:val="center"/>
          </w:tcPr>
          <w:p w14:paraId="6D873B86" w14:textId="77777777"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vAlign w:val="center"/>
          </w:tcPr>
          <w:p w14:paraId="78037545" w14:textId="575ED277" w:rsidR="00CE2A16" w:rsidRPr="00CB1869" w:rsidRDefault="0023099A" w:rsidP="00CB1869">
            <w:pPr>
              <w:rPr>
                <w:rFonts w:ascii="Arial" w:hAnsi="Arial" w:cs="Arial"/>
                <w:i/>
                <w:sz w:val="20"/>
                <w:szCs w:val="20"/>
              </w:rPr>
            </w:pPr>
            <w:r>
              <w:rPr>
                <w:rFonts w:ascii="Arial" w:hAnsi="Arial" w:cs="Arial"/>
                <w:i/>
                <w:sz w:val="20"/>
                <w:szCs w:val="20"/>
              </w:rPr>
              <w:t>Chargé(e) de mission santé</w:t>
            </w:r>
          </w:p>
        </w:tc>
      </w:tr>
      <w:tr w:rsidR="00354DE9" w:rsidRPr="00354DE9" w14:paraId="0445454C" w14:textId="77777777" w:rsidTr="00C55AAD">
        <w:trPr>
          <w:trHeight w:val="324"/>
          <w:jc w:val="center"/>
        </w:trPr>
        <w:tc>
          <w:tcPr>
            <w:tcW w:w="2547" w:type="dxa"/>
            <w:shd w:val="clear" w:color="auto" w:fill="FFFFFF" w:themeFill="background1"/>
            <w:vAlign w:val="center"/>
          </w:tcPr>
          <w:p w14:paraId="78F04AB6" w14:textId="77777777" w:rsidR="0057104E" w:rsidRPr="00354DE9" w:rsidRDefault="0057104E" w:rsidP="0052743F">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14:paraId="356F2759" w14:textId="4934C5A5" w:rsidR="00BA5201" w:rsidRPr="00354DE9" w:rsidRDefault="0023099A" w:rsidP="00F16670">
            <w:pPr>
              <w:rPr>
                <w:rFonts w:ascii="Arial" w:hAnsi="Arial" w:cs="Arial"/>
                <w:sz w:val="20"/>
                <w:szCs w:val="20"/>
              </w:rPr>
            </w:pPr>
            <w:r>
              <w:rPr>
                <w:rFonts w:ascii="Arial" w:hAnsi="Arial" w:cs="Arial"/>
                <w:sz w:val="20"/>
                <w:szCs w:val="20"/>
              </w:rPr>
              <w:t xml:space="preserve">Axe 1 : </w:t>
            </w:r>
            <w:r w:rsidR="00A129C7">
              <w:rPr>
                <w:rFonts w:ascii="Arial" w:hAnsi="Arial" w:cs="Arial"/>
                <w:sz w:val="20"/>
                <w:szCs w:val="20"/>
              </w:rPr>
              <w:t>Soutenir les initiatives et les actions favorisant la santé</w:t>
            </w:r>
          </w:p>
        </w:tc>
      </w:tr>
      <w:tr w:rsidR="00354DE9" w:rsidRPr="00354DE9" w14:paraId="3E12A5D2" w14:textId="77777777" w:rsidTr="00C55AAD">
        <w:trPr>
          <w:trHeight w:val="600"/>
          <w:jc w:val="center"/>
        </w:trPr>
        <w:tc>
          <w:tcPr>
            <w:tcW w:w="2547" w:type="dxa"/>
            <w:shd w:val="clear" w:color="auto" w:fill="FFFFFF" w:themeFill="background1"/>
            <w:vAlign w:val="center"/>
          </w:tcPr>
          <w:p w14:paraId="70801E6B" w14:textId="77777777" w:rsidR="009E5171" w:rsidRPr="00354DE9" w:rsidRDefault="009E5171" w:rsidP="00AD6425">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14:paraId="0565B0C8" w14:textId="6D3DE8E7" w:rsidR="004F48D7" w:rsidRDefault="00B12563" w:rsidP="00793E99">
            <w:pPr>
              <w:jc w:val="both"/>
              <w:rPr>
                <w:rFonts w:ascii="Arial" w:hAnsi="Arial" w:cs="Arial"/>
                <w:sz w:val="20"/>
                <w:szCs w:val="20"/>
              </w:rPr>
            </w:pPr>
            <w:r>
              <w:rPr>
                <w:rFonts w:ascii="Arial" w:hAnsi="Arial" w:cs="Arial"/>
                <w:sz w:val="20"/>
                <w:szCs w:val="20"/>
              </w:rPr>
              <w:t xml:space="preserve">La démocratie en santé est un élément clé des contrats locaux de santé, </w:t>
            </w:r>
            <w:r w:rsidR="004F48D7">
              <w:rPr>
                <w:rFonts w:ascii="Arial" w:hAnsi="Arial" w:cs="Arial"/>
                <w:sz w:val="20"/>
                <w:szCs w:val="20"/>
              </w:rPr>
              <w:t>leur investissement dans celui-ci permet de garantir une justesse des actions engagées et de connaitre plus finement les besoins.</w:t>
            </w:r>
          </w:p>
          <w:p w14:paraId="7B1CD987" w14:textId="1CD21ABD" w:rsidR="004F48D7" w:rsidRDefault="004F48D7" w:rsidP="00793E99">
            <w:pPr>
              <w:jc w:val="both"/>
              <w:rPr>
                <w:rFonts w:ascii="Arial" w:hAnsi="Arial" w:cs="Arial"/>
                <w:sz w:val="20"/>
                <w:szCs w:val="20"/>
              </w:rPr>
            </w:pPr>
          </w:p>
          <w:p w14:paraId="43588087" w14:textId="36338324" w:rsidR="004F48D7" w:rsidRDefault="004F48D7" w:rsidP="00793E99">
            <w:pPr>
              <w:jc w:val="both"/>
              <w:rPr>
                <w:rFonts w:ascii="Arial" w:hAnsi="Arial" w:cs="Arial"/>
                <w:sz w:val="20"/>
                <w:szCs w:val="20"/>
              </w:rPr>
            </w:pPr>
            <w:r>
              <w:rPr>
                <w:rFonts w:ascii="Arial" w:hAnsi="Arial" w:cs="Arial"/>
                <w:sz w:val="20"/>
                <w:szCs w:val="20"/>
              </w:rPr>
              <w:t xml:space="preserve">Lors du diagnostic local de santé, les habitants ont été consulté et les personnes présentes aux réunions publiques ont indiqué que : </w:t>
            </w:r>
          </w:p>
          <w:p w14:paraId="63587890" w14:textId="3EA11CE1" w:rsidR="004F48D7"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Les actions existantes n’étaient pas assez visibles</w:t>
            </w:r>
          </w:p>
          <w:p w14:paraId="479B9DC1" w14:textId="4500D3FC" w:rsid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Que les communications sur les dépistages ne sont pas assez claires</w:t>
            </w:r>
          </w:p>
          <w:p w14:paraId="0E4681D6" w14:textId="7B28BD14" w:rsidR="00793E99" w:rsidRP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Un programme de réunions thématiques seraient le bienvenu</w:t>
            </w:r>
          </w:p>
          <w:p w14:paraId="15CA1DE6" w14:textId="77777777" w:rsidR="00793E99" w:rsidRDefault="00793E99" w:rsidP="00793E99">
            <w:pPr>
              <w:jc w:val="both"/>
              <w:rPr>
                <w:rFonts w:ascii="Arial" w:hAnsi="Arial" w:cs="Arial"/>
                <w:sz w:val="20"/>
                <w:szCs w:val="20"/>
              </w:rPr>
            </w:pPr>
          </w:p>
          <w:p w14:paraId="3CBE92E1" w14:textId="0BA25069" w:rsidR="007D7B8D" w:rsidRDefault="00793E99" w:rsidP="00793E99">
            <w:pPr>
              <w:jc w:val="both"/>
              <w:rPr>
                <w:rFonts w:ascii="Arial" w:hAnsi="Arial" w:cs="Arial"/>
                <w:sz w:val="20"/>
                <w:szCs w:val="20"/>
              </w:rPr>
            </w:pPr>
            <w:r>
              <w:rPr>
                <w:rFonts w:ascii="Arial" w:hAnsi="Arial" w:cs="Arial"/>
                <w:sz w:val="20"/>
                <w:szCs w:val="20"/>
              </w:rPr>
              <w:t xml:space="preserve">Les données quantitatives du DLS ont par ailleurs mis en avant que les principales </w:t>
            </w:r>
            <w:r w:rsidR="007D7B8D">
              <w:rPr>
                <w:rFonts w:ascii="Arial" w:hAnsi="Arial" w:cs="Arial"/>
                <w:sz w:val="20"/>
                <w:szCs w:val="20"/>
              </w:rPr>
              <w:t xml:space="preserve">causes </w:t>
            </w:r>
            <w:r>
              <w:rPr>
                <w:rFonts w:ascii="Arial" w:hAnsi="Arial" w:cs="Arial"/>
                <w:sz w:val="20"/>
                <w:szCs w:val="20"/>
              </w:rPr>
              <w:t>de morbidité </w:t>
            </w:r>
            <w:r w:rsidR="004A4530">
              <w:rPr>
                <w:rFonts w:ascii="Arial" w:hAnsi="Arial" w:cs="Arial"/>
                <w:sz w:val="20"/>
                <w:szCs w:val="20"/>
              </w:rPr>
              <w:t>son</w:t>
            </w:r>
            <w:r w:rsidR="007D7B8D">
              <w:rPr>
                <w:rFonts w:ascii="Arial" w:hAnsi="Arial" w:cs="Arial"/>
                <w:sz w:val="20"/>
                <w:szCs w:val="20"/>
              </w:rPr>
              <w:t>t</w:t>
            </w:r>
            <w:r w:rsidR="00204218">
              <w:rPr>
                <w:rFonts w:ascii="Arial" w:hAnsi="Arial" w:cs="Arial"/>
                <w:sz w:val="20"/>
                <w:szCs w:val="20"/>
              </w:rPr>
              <w:t xml:space="preserve"> </w:t>
            </w:r>
            <w:bookmarkStart w:id="1" w:name="_GoBack"/>
            <w:bookmarkEnd w:id="1"/>
            <w:r>
              <w:rPr>
                <w:rFonts w:ascii="Arial" w:hAnsi="Arial" w:cs="Arial"/>
                <w:sz w:val="20"/>
                <w:szCs w:val="20"/>
              </w:rPr>
              <w:t>le d</w:t>
            </w:r>
            <w:r w:rsidR="003540F9">
              <w:rPr>
                <w:rFonts w:ascii="Arial" w:hAnsi="Arial" w:cs="Arial"/>
                <w:sz w:val="20"/>
                <w:szCs w:val="20"/>
              </w:rPr>
              <w:t xml:space="preserve">iabète, </w:t>
            </w:r>
            <w:r>
              <w:rPr>
                <w:rFonts w:ascii="Arial" w:hAnsi="Arial" w:cs="Arial"/>
                <w:sz w:val="20"/>
                <w:szCs w:val="20"/>
              </w:rPr>
              <w:t>les m</w:t>
            </w:r>
            <w:r w:rsidR="003540F9">
              <w:rPr>
                <w:rFonts w:ascii="Arial" w:hAnsi="Arial" w:cs="Arial"/>
                <w:sz w:val="20"/>
                <w:szCs w:val="20"/>
              </w:rPr>
              <w:t>aladie</w:t>
            </w:r>
            <w:r>
              <w:rPr>
                <w:rFonts w:ascii="Arial" w:hAnsi="Arial" w:cs="Arial"/>
                <w:sz w:val="20"/>
                <w:szCs w:val="20"/>
              </w:rPr>
              <w:t>s</w:t>
            </w:r>
            <w:r w:rsidR="003540F9">
              <w:rPr>
                <w:rFonts w:ascii="Arial" w:hAnsi="Arial" w:cs="Arial"/>
                <w:sz w:val="20"/>
                <w:szCs w:val="20"/>
              </w:rPr>
              <w:t xml:space="preserve"> </w:t>
            </w:r>
            <w:proofErr w:type="spellStart"/>
            <w:r w:rsidR="003540F9">
              <w:rPr>
                <w:rFonts w:ascii="Arial" w:hAnsi="Arial" w:cs="Arial"/>
                <w:sz w:val="20"/>
                <w:szCs w:val="20"/>
              </w:rPr>
              <w:t>neurocardiovasculaire</w:t>
            </w:r>
            <w:r w:rsidR="006D4294">
              <w:rPr>
                <w:rFonts w:ascii="Arial" w:hAnsi="Arial" w:cs="Arial"/>
                <w:sz w:val="20"/>
                <w:szCs w:val="20"/>
              </w:rPr>
              <w:t>s</w:t>
            </w:r>
            <w:proofErr w:type="spellEnd"/>
            <w:r w:rsidR="006D4294">
              <w:rPr>
                <w:rFonts w:ascii="Arial" w:hAnsi="Arial" w:cs="Arial"/>
                <w:sz w:val="20"/>
                <w:szCs w:val="20"/>
              </w:rPr>
              <w:t>,</w:t>
            </w:r>
            <w:r>
              <w:rPr>
                <w:rFonts w:ascii="Arial" w:hAnsi="Arial" w:cs="Arial"/>
                <w:sz w:val="20"/>
                <w:szCs w:val="20"/>
              </w:rPr>
              <w:t xml:space="preserve"> les troubles psychos affectifs et les c</w:t>
            </w:r>
            <w:r w:rsidR="003540F9">
              <w:rPr>
                <w:rFonts w:ascii="Arial" w:hAnsi="Arial" w:cs="Arial"/>
                <w:sz w:val="20"/>
                <w:szCs w:val="20"/>
              </w:rPr>
              <w:t>ancers</w:t>
            </w:r>
            <w:r>
              <w:rPr>
                <w:rFonts w:ascii="Arial" w:hAnsi="Arial" w:cs="Arial"/>
                <w:sz w:val="20"/>
                <w:szCs w:val="20"/>
              </w:rPr>
              <w:t>.</w:t>
            </w:r>
          </w:p>
          <w:p w14:paraId="5BAAC389" w14:textId="0E91F310" w:rsidR="00793E99" w:rsidRDefault="007D7B8D" w:rsidP="00793E99">
            <w:pPr>
              <w:jc w:val="both"/>
              <w:rPr>
                <w:rFonts w:ascii="Arial" w:hAnsi="Arial" w:cs="Arial"/>
                <w:sz w:val="20"/>
                <w:szCs w:val="20"/>
              </w:rPr>
            </w:pPr>
            <w:r>
              <w:rPr>
                <w:rFonts w:ascii="Arial" w:hAnsi="Arial" w:cs="Arial"/>
                <w:sz w:val="20"/>
                <w:szCs w:val="20"/>
              </w:rPr>
              <w:t>Fort de ce constat, il est nécessaire de renforcer l</w:t>
            </w:r>
            <w:r w:rsidR="00793E99">
              <w:rPr>
                <w:rFonts w:ascii="Arial" w:hAnsi="Arial" w:cs="Arial"/>
                <w:sz w:val="20"/>
                <w:szCs w:val="20"/>
              </w:rPr>
              <w:t>a prévention primaire sur les sujets de :</w:t>
            </w:r>
          </w:p>
          <w:p w14:paraId="2CB04EDA" w14:textId="77777777" w:rsid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L’</w:t>
            </w:r>
            <w:r w:rsidR="003540F9" w:rsidRPr="00793E99">
              <w:rPr>
                <w:rFonts w:ascii="Arial" w:hAnsi="Arial" w:cs="Arial"/>
                <w:sz w:val="20"/>
                <w:szCs w:val="20"/>
              </w:rPr>
              <w:t xml:space="preserve">alimentation, </w:t>
            </w:r>
          </w:p>
          <w:p w14:paraId="1EBD39CF" w14:textId="77777777" w:rsid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L’</w:t>
            </w:r>
            <w:r w:rsidR="003540F9" w:rsidRPr="00793E99">
              <w:rPr>
                <w:rFonts w:ascii="Arial" w:hAnsi="Arial" w:cs="Arial"/>
                <w:sz w:val="20"/>
                <w:szCs w:val="20"/>
              </w:rPr>
              <w:t xml:space="preserve">activité physique, </w:t>
            </w:r>
          </w:p>
          <w:p w14:paraId="08437298" w14:textId="77777777" w:rsid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 xml:space="preserve">Le </w:t>
            </w:r>
            <w:r w:rsidR="003540F9" w:rsidRPr="00793E99">
              <w:rPr>
                <w:rFonts w:ascii="Arial" w:hAnsi="Arial" w:cs="Arial"/>
                <w:sz w:val="20"/>
                <w:szCs w:val="20"/>
              </w:rPr>
              <w:t xml:space="preserve">sommeil, </w:t>
            </w:r>
          </w:p>
          <w:p w14:paraId="0F267332" w14:textId="76CCEC60" w:rsid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 xml:space="preserve">Les </w:t>
            </w:r>
            <w:r w:rsidR="00914A84">
              <w:rPr>
                <w:rFonts w:ascii="Arial" w:hAnsi="Arial" w:cs="Arial"/>
                <w:sz w:val="20"/>
                <w:szCs w:val="20"/>
              </w:rPr>
              <w:t>polluants</w:t>
            </w:r>
          </w:p>
          <w:p w14:paraId="219AE868" w14:textId="5999780F" w:rsidR="00793E99" w:rsidRPr="00793E99" w:rsidRDefault="00793E99" w:rsidP="00793E99">
            <w:pPr>
              <w:pStyle w:val="Paragraphedeliste"/>
              <w:numPr>
                <w:ilvl w:val="0"/>
                <w:numId w:val="4"/>
              </w:numPr>
              <w:jc w:val="both"/>
              <w:rPr>
                <w:rFonts w:ascii="Arial" w:hAnsi="Arial" w:cs="Arial"/>
                <w:sz w:val="20"/>
                <w:szCs w:val="20"/>
              </w:rPr>
            </w:pPr>
            <w:r>
              <w:rPr>
                <w:rFonts w:ascii="Arial" w:hAnsi="Arial" w:cs="Arial"/>
                <w:sz w:val="20"/>
                <w:szCs w:val="20"/>
              </w:rPr>
              <w:t xml:space="preserve">La santé mentale </w:t>
            </w:r>
          </w:p>
          <w:p w14:paraId="55487AAA" w14:textId="77777777" w:rsidR="00597CC8" w:rsidRDefault="00597CC8" w:rsidP="00793E99">
            <w:pPr>
              <w:jc w:val="both"/>
              <w:rPr>
                <w:rFonts w:ascii="Arial" w:hAnsi="Arial" w:cs="Arial"/>
                <w:sz w:val="20"/>
                <w:szCs w:val="20"/>
              </w:rPr>
            </w:pPr>
          </w:p>
          <w:p w14:paraId="50928D0E" w14:textId="6704DF1A" w:rsidR="00793E99" w:rsidRPr="00793E99" w:rsidRDefault="00597CC8" w:rsidP="00793E99">
            <w:pPr>
              <w:jc w:val="both"/>
              <w:rPr>
                <w:rFonts w:ascii="Arial" w:hAnsi="Arial" w:cs="Arial"/>
                <w:sz w:val="20"/>
                <w:szCs w:val="20"/>
              </w:rPr>
            </w:pPr>
            <w:r>
              <w:rPr>
                <w:rFonts w:ascii="Arial" w:hAnsi="Arial" w:cs="Arial"/>
                <w:sz w:val="20"/>
                <w:szCs w:val="20"/>
              </w:rPr>
              <w:t>Afin de répondre aux besoins du territoire et aux attentes des habitants, un projet de démocratie en santé va être déployé sur le territoire.</w:t>
            </w:r>
          </w:p>
          <w:p w14:paraId="10AFA9D2" w14:textId="4328BF66" w:rsidR="00AA250D" w:rsidRPr="00354DE9" w:rsidRDefault="00AA250D" w:rsidP="00F16670">
            <w:pPr>
              <w:rPr>
                <w:rFonts w:ascii="Arial" w:hAnsi="Arial" w:cs="Arial"/>
                <w:sz w:val="20"/>
                <w:szCs w:val="20"/>
              </w:rPr>
            </w:pPr>
          </w:p>
        </w:tc>
      </w:tr>
      <w:tr w:rsidR="00354DE9" w:rsidRPr="00354DE9" w14:paraId="447EE523" w14:textId="77777777" w:rsidTr="00EE1636">
        <w:trPr>
          <w:trHeight w:val="681"/>
          <w:jc w:val="center"/>
        </w:trPr>
        <w:tc>
          <w:tcPr>
            <w:tcW w:w="2547" w:type="dxa"/>
            <w:shd w:val="clear" w:color="auto" w:fill="FFFFFF" w:themeFill="background1"/>
            <w:vAlign w:val="center"/>
          </w:tcPr>
          <w:p w14:paraId="6C703C88" w14:textId="77777777"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14:paraId="28CF260B" w14:textId="6CA52CDC" w:rsidR="005B3191" w:rsidRDefault="007755C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5B3191" w:rsidRPr="00B83B06">
                  <w:rPr>
                    <w:rStyle w:val="Textedelespacerserv"/>
                  </w:rPr>
                  <w:t>Choisissez un élément.</w:t>
                </w:r>
              </w:sdtContent>
            </w:sdt>
          </w:p>
          <w:p w14:paraId="2DF3388F"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14:paraId="66CD8124"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14:paraId="74E02EF2"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showingPlcHd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E22823" w:rsidRPr="00B83B06">
                  <w:rPr>
                    <w:rStyle w:val="Textedelespacerserv"/>
                  </w:rPr>
                  <w:t>Choisissez un élément.</w:t>
                </w:r>
              </w:sdtContent>
            </w:sdt>
          </w:p>
          <w:p w14:paraId="5775F731"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14:paraId="6399079D"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showingPlcHd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BD6522" w:rsidRPr="00B83B06">
                  <w:rPr>
                    <w:rStyle w:val="Textedelespacerserv"/>
                  </w:rPr>
                  <w:t>Choisissez un élément.</w:t>
                </w:r>
              </w:sdtContent>
            </w:sdt>
          </w:p>
          <w:p w14:paraId="00C5F2B2" w14:textId="77777777" w:rsidR="00BD6522"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14:paraId="44FC5647" w14:textId="77777777" w:rsidR="003E6827" w:rsidRDefault="001361D6"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14:paraId="1F86C3CD" w14:textId="77777777"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14:paraId="101264E5" w14:textId="77777777"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14:paraId="2CB55B5E" w14:textId="77777777" w:rsidR="00867184" w:rsidRPr="00E92D2D" w:rsidRDefault="00867184" w:rsidP="00BD6522">
            <w:pPr>
              <w:rPr>
                <w:rFonts w:ascii="Arial" w:hAnsi="Arial" w:cs="Arial"/>
                <w:sz w:val="20"/>
                <w:szCs w:val="20"/>
              </w:rPr>
            </w:pPr>
          </w:p>
        </w:tc>
      </w:tr>
      <w:tr w:rsidR="009B2256" w:rsidRPr="00354DE9" w14:paraId="302AD36D" w14:textId="77777777" w:rsidTr="00EE1636">
        <w:trPr>
          <w:trHeight w:val="681"/>
          <w:jc w:val="center"/>
        </w:trPr>
        <w:tc>
          <w:tcPr>
            <w:tcW w:w="2547" w:type="dxa"/>
            <w:shd w:val="clear" w:color="auto" w:fill="FFFFFF" w:themeFill="background1"/>
            <w:vAlign w:val="center"/>
          </w:tcPr>
          <w:p w14:paraId="53294E33" w14:textId="5E08A0AB"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7755C9">
              <w:rPr>
                <w:rFonts w:ascii="Arial" w:hAnsi="Arial" w:cs="Arial"/>
                <w:b/>
                <w:sz w:val="20"/>
                <w:szCs w:val="20"/>
              </w:rPr>
              <w:t>4</w:t>
            </w:r>
          </w:p>
        </w:tc>
        <w:tc>
          <w:tcPr>
            <w:tcW w:w="6973" w:type="dxa"/>
            <w:gridSpan w:val="4"/>
            <w:vAlign w:val="center"/>
          </w:tcPr>
          <w:p w14:paraId="72A9D63D"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activités humaines préservant l’environnement et la santé </w:t>
            </w:r>
            <w:sdt>
              <w:sdtPr>
                <w:rPr>
                  <w:rFonts w:ascii="Arial" w:hAnsi="Arial" w:cs="Arial"/>
                  <w:sz w:val="20"/>
                  <w:szCs w:val="20"/>
                </w:rPr>
                <w:alias w:val="Objectifs Axe 1"/>
                <w:tag w:val="Objectifs Axe 1"/>
                <w:id w:val="605543622"/>
                <w:placeholder>
                  <w:docPart w:val="80ACF9006A2C4E7DAB5ACAEC71027487"/>
                </w:placeholder>
                <w:showingPlcHdr/>
                <w:comboBox>
                  <w:listItem w:value="Choisissez un élément."/>
                  <w:listItem w:displayText="Préserver un environnement favorable à la santé" w:value="Préserver un environnement favorable à la santé"/>
                  <w:listItem w:displayText="Réduire l’exposition des habitants aux pollutions diffuses" w:value="Réduire l’exposition des habitants aux pollutions diffuses"/>
                </w:comboBox>
              </w:sdtPr>
              <w:sdtEndPr/>
              <w:sdtContent>
                <w:r w:rsidR="00A26463" w:rsidRPr="00B83B06">
                  <w:rPr>
                    <w:rStyle w:val="Textedelespacerserv"/>
                  </w:rPr>
                  <w:t>Choisissez un élément.</w:t>
                </w:r>
              </w:sdtContent>
            </w:sdt>
            <w:r>
              <w:rPr>
                <w:rFonts w:ascii="Arial" w:hAnsi="Arial" w:cs="Arial"/>
                <w:sz w:val="20"/>
                <w:szCs w:val="20"/>
              </w:rPr>
              <w:t xml:space="preserve"> </w:t>
            </w:r>
          </w:p>
          <w:p w14:paraId="788CC896"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2 : Une cadre de vie et de travail favorable à la santé </w:t>
            </w:r>
            <w:sdt>
              <w:sdtPr>
                <w:rPr>
                  <w:rFonts w:ascii="Arial" w:hAnsi="Arial" w:cs="Arial"/>
                  <w:sz w:val="20"/>
                  <w:szCs w:val="20"/>
                </w:rPr>
                <w:alias w:val="Objectifs Axe 2"/>
                <w:tag w:val="Objectifs Axe 2"/>
                <w:id w:val="-14623808"/>
                <w:placeholder>
                  <w:docPart w:val="98189D642BE94A56A1B5D27F40558277"/>
                </w:placeholder>
                <w:showingPlcHdr/>
                <w:comboBox>
                  <w:listItem w:value="Choisissez un élément."/>
                  <w:listItem w:displayText="Lutter contre les espèces invasives et nuisibles pour la santé" w:value="Lutter contre les espèces invasives et nuisibles pour la santé"/>
                  <w:listItem w:displayText="Favoriser la prise en compte des enjeux santé environnement dans l’aménagement et les politiques d’urbanisme" w:value="Favoriser la prise en compte des enjeux santé environnement dans l’aménagement et les politiques d’urbanisme"/>
                  <w:listItem w:displayText="Œuvrer pour une meilleure qualité sanitaire des bâtiments" w:value="Œuvrer pour une meilleure qualité sanitaire des bâtiments"/>
                </w:comboBox>
              </w:sdtPr>
              <w:sdtEndPr/>
              <w:sdtContent>
                <w:r w:rsidR="00A26463" w:rsidRPr="00B83B06">
                  <w:rPr>
                    <w:rStyle w:val="Textedelespacerserv"/>
                  </w:rPr>
                  <w:t>Choisissez un élément.</w:t>
                </w:r>
              </w:sdtContent>
            </w:sdt>
            <w:r w:rsidR="00A26463">
              <w:rPr>
                <w:rFonts w:ascii="Arial" w:hAnsi="Arial" w:cs="Arial"/>
                <w:sz w:val="20"/>
                <w:szCs w:val="20"/>
              </w:rPr>
              <w:t xml:space="preserve"> </w:t>
            </w:r>
          </w:p>
          <w:p w14:paraId="4BF80805"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3 : Les clés pour agir en faveur de la santé environnement au quotidien </w:t>
            </w:r>
            <w:sdt>
              <w:sdtPr>
                <w:rPr>
                  <w:rFonts w:ascii="Arial" w:hAnsi="Arial" w:cs="Arial"/>
                  <w:sz w:val="20"/>
                  <w:szCs w:val="20"/>
                </w:rPr>
                <w:alias w:val="Objectifs Axe 3"/>
                <w:tag w:val="Objectifs Axe 3"/>
                <w:id w:val="-1431500170"/>
                <w:placeholder>
                  <w:docPart w:val="86A6216FE90244D8AD8EF54FC6093150"/>
                </w:placeholder>
                <w:showingPlcHdr/>
                <w:comboBox>
                  <w:listItem w:value="Choisissez un élément."/>
                  <w:listItem w:displayText="Développer les connaissances et les compétences en santé environnement" w:value="Développer les connaissances et les compétences en santé environnement"/>
                  <w:listItem w:displayText="Faire vivre le PRSE 3 en GE" w:value="Faire vivre le PRSE 3 en GE"/>
                </w:comboBox>
              </w:sdtPr>
              <w:sdtEndPr/>
              <w:sdtContent>
                <w:r w:rsidR="00A26463" w:rsidRPr="00B83B06">
                  <w:rPr>
                    <w:rStyle w:val="Textedelespacerserv"/>
                  </w:rPr>
                  <w:t>Choisissez un élément.</w:t>
                </w:r>
              </w:sdtContent>
            </w:sdt>
          </w:p>
          <w:p w14:paraId="05588674" w14:textId="794ACA58" w:rsidR="00880675" w:rsidRDefault="00EA5AF6"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880675">
              <w:rPr>
                <w:rFonts w:ascii="Arial" w:hAnsi="Arial" w:cs="Arial"/>
                <w:sz w:val="20"/>
                <w:szCs w:val="20"/>
              </w:rPr>
              <w:t xml:space="preserve"> </w:t>
            </w:r>
            <w:r w:rsidR="00F91A39">
              <w:rPr>
                <w:rFonts w:ascii="Arial" w:hAnsi="Arial" w:cs="Arial"/>
                <w:sz w:val="20"/>
                <w:szCs w:val="20"/>
              </w:rPr>
              <w:t>Hors</w:t>
            </w:r>
            <w:r w:rsidR="00880675">
              <w:rPr>
                <w:rFonts w:ascii="Arial" w:hAnsi="Arial" w:cs="Arial"/>
                <w:sz w:val="20"/>
                <w:szCs w:val="20"/>
              </w:rPr>
              <w:t xml:space="preserve"> PRSE </w:t>
            </w:r>
            <w:r w:rsidR="007755C9">
              <w:rPr>
                <w:rFonts w:ascii="Arial" w:hAnsi="Arial" w:cs="Arial"/>
                <w:sz w:val="20"/>
                <w:szCs w:val="20"/>
              </w:rPr>
              <w:t>4</w:t>
            </w:r>
          </w:p>
        </w:tc>
      </w:tr>
      <w:tr w:rsidR="001B3942" w:rsidRPr="00354DE9" w14:paraId="55200851" w14:textId="77777777" w:rsidTr="001B3942">
        <w:trPr>
          <w:trHeight w:val="447"/>
          <w:jc w:val="center"/>
        </w:trPr>
        <w:tc>
          <w:tcPr>
            <w:tcW w:w="2547" w:type="dxa"/>
            <w:shd w:val="clear" w:color="auto" w:fill="FFFFFF" w:themeFill="background1"/>
            <w:vAlign w:val="center"/>
          </w:tcPr>
          <w:p w14:paraId="1700E61E" w14:textId="2CC69DD9" w:rsidR="001B3942" w:rsidRPr="00354DE9" w:rsidRDefault="001B3942" w:rsidP="00723B4D">
            <w:pPr>
              <w:rPr>
                <w:rFonts w:ascii="Arial" w:hAnsi="Arial" w:cs="Arial"/>
                <w:b/>
                <w:sz w:val="20"/>
                <w:szCs w:val="20"/>
              </w:rPr>
            </w:pPr>
            <w:r>
              <w:rPr>
                <w:rFonts w:ascii="Arial" w:hAnsi="Arial" w:cs="Arial"/>
                <w:b/>
                <w:sz w:val="20"/>
                <w:szCs w:val="20"/>
              </w:rPr>
              <w:t>Objectif général</w:t>
            </w:r>
          </w:p>
        </w:tc>
        <w:tc>
          <w:tcPr>
            <w:tcW w:w="6973" w:type="dxa"/>
            <w:gridSpan w:val="4"/>
            <w:shd w:val="clear" w:color="auto" w:fill="auto"/>
            <w:vAlign w:val="center"/>
          </w:tcPr>
          <w:p w14:paraId="1888DA01" w14:textId="4ADA2185" w:rsidR="001B3942" w:rsidRPr="001B3942" w:rsidRDefault="001B3942" w:rsidP="00EA5AF6">
            <w:pPr>
              <w:rPr>
                <w:rFonts w:ascii="Arial" w:hAnsi="Arial" w:cs="Arial"/>
                <w:sz w:val="20"/>
                <w:szCs w:val="20"/>
              </w:rPr>
            </w:pPr>
            <w:r>
              <w:rPr>
                <w:rFonts w:ascii="Arial" w:hAnsi="Arial" w:cs="Arial"/>
                <w:sz w:val="20"/>
                <w:szCs w:val="20"/>
              </w:rPr>
              <w:t xml:space="preserve">Engager </w:t>
            </w:r>
            <w:r w:rsidRPr="001B3942">
              <w:rPr>
                <w:rFonts w:ascii="Arial" w:hAnsi="Arial" w:cs="Arial"/>
                <w:sz w:val="20"/>
                <w:szCs w:val="20"/>
              </w:rPr>
              <w:t xml:space="preserve">les habitants </w:t>
            </w:r>
            <w:r>
              <w:rPr>
                <w:rFonts w:ascii="Arial" w:hAnsi="Arial" w:cs="Arial"/>
                <w:sz w:val="20"/>
                <w:szCs w:val="20"/>
              </w:rPr>
              <w:t xml:space="preserve">à </w:t>
            </w:r>
            <w:r w:rsidR="002A685A">
              <w:rPr>
                <w:rFonts w:ascii="Arial" w:hAnsi="Arial" w:cs="Arial"/>
                <w:sz w:val="20"/>
                <w:szCs w:val="20"/>
              </w:rPr>
              <w:t xml:space="preserve">être </w:t>
            </w:r>
            <w:r w:rsidRPr="001B3942">
              <w:rPr>
                <w:rFonts w:ascii="Arial" w:hAnsi="Arial" w:cs="Arial"/>
                <w:sz w:val="20"/>
                <w:szCs w:val="20"/>
              </w:rPr>
              <w:t>acteurs de leur santé</w:t>
            </w:r>
          </w:p>
        </w:tc>
      </w:tr>
      <w:tr w:rsidR="00354DE9" w:rsidRPr="00354DE9" w14:paraId="3144178D" w14:textId="77777777" w:rsidTr="00EE1636">
        <w:trPr>
          <w:jc w:val="center"/>
        </w:trPr>
        <w:tc>
          <w:tcPr>
            <w:tcW w:w="2547" w:type="dxa"/>
            <w:shd w:val="clear" w:color="auto" w:fill="FFFFFF" w:themeFill="background1"/>
            <w:vAlign w:val="center"/>
          </w:tcPr>
          <w:p w14:paraId="75FDDAC8" w14:textId="77777777" w:rsidR="009507D8" w:rsidRDefault="009507D8" w:rsidP="00723B4D">
            <w:pPr>
              <w:rPr>
                <w:rFonts w:ascii="Arial" w:hAnsi="Arial" w:cs="Arial"/>
                <w:b/>
                <w:sz w:val="20"/>
                <w:szCs w:val="20"/>
              </w:rPr>
            </w:pPr>
            <w:r w:rsidRPr="00354DE9">
              <w:rPr>
                <w:rFonts w:ascii="Arial" w:hAnsi="Arial" w:cs="Arial"/>
                <w:b/>
                <w:sz w:val="20"/>
                <w:szCs w:val="20"/>
              </w:rPr>
              <w:lastRenderedPageBreak/>
              <w:t xml:space="preserve">Objectifs </w:t>
            </w:r>
            <w:r w:rsidR="008A66B2">
              <w:rPr>
                <w:rFonts w:ascii="Arial" w:hAnsi="Arial" w:cs="Arial"/>
                <w:b/>
                <w:sz w:val="20"/>
                <w:szCs w:val="20"/>
              </w:rPr>
              <w:t>spécifiques</w:t>
            </w:r>
            <w:r w:rsidR="00454C16">
              <w:rPr>
                <w:rFonts w:ascii="Arial" w:hAnsi="Arial" w:cs="Arial"/>
                <w:b/>
                <w:sz w:val="20"/>
                <w:szCs w:val="20"/>
              </w:rPr>
              <w:t xml:space="preserve"> </w:t>
            </w:r>
          </w:p>
          <w:p w14:paraId="26BF10DC" w14:textId="77777777" w:rsidR="00723B4D" w:rsidRPr="00354DE9" w:rsidRDefault="00723B4D" w:rsidP="00723B4D">
            <w:pPr>
              <w:rPr>
                <w:rFonts w:ascii="Arial" w:hAnsi="Arial" w:cs="Arial"/>
                <w:b/>
                <w:sz w:val="20"/>
                <w:szCs w:val="20"/>
              </w:rPr>
            </w:pPr>
          </w:p>
        </w:tc>
        <w:tc>
          <w:tcPr>
            <w:tcW w:w="6973" w:type="dxa"/>
            <w:gridSpan w:val="4"/>
            <w:shd w:val="clear" w:color="auto" w:fill="auto"/>
            <w:vAlign w:val="center"/>
          </w:tcPr>
          <w:p w14:paraId="5759FCF9" w14:textId="77777777" w:rsidR="0023099A" w:rsidRDefault="0023099A" w:rsidP="0023099A">
            <w:pPr>
              <w:pStyle w:val="Paragraphedeliste"/>
              <w:numPr>
                <w:ilvl w:val="0"/>
                <w:numId w:val="2"/>
              </w:numPr>
              <w:rPr>
                <w:rFonts w:ascii="Arial" w:hAnsi="Arial" w:cs="Arial"/>
                <w:sz w:val="20"/>
                <w:szCs w:val="20"/>
              </w:rPr>
            </w:pPr>
            <w:r>
              <w:rPr>
                <w:rFonts w:ascii="Arial" w:hAnsi="Arial" w:cs="Arial"/>
                <w:sz w:val="20"/>
                <w:szCs w:val="20"/>
              </w:rPr>
              <w:t xml:space="preserve">Impliquer les habitants dans l’élaboration du programme de santé </w:t>
            </w:r>
          </w:p>
          <w:p w14:paraId="656E8683" w14:textId="77777777" w:rsidR="0023099A" w:rsidRDefault="0023099A" w:rsidP="0023099A">
            <w:pPr>
              <w:pStyle w:val="Paragraphedeliste"/>
              <w:numPr>
                <w:ilvl w:val="0"/>
                <w:numId w:val="2"/>
              </w:numPr>
              <w:rPr>
                <w:rFonts w:ascii="Arial" w:hAnsi="Arial" w:cs="Arial"/>
                <w:sz w:val="20"/>
                <w:szCs w:val="20"/>
              </w:rPr>
            </w:pPr>
            <w:r>
              <w:rPr>
                <w:rFonts w:ascii="Arial" w:hAnsi="Arial" w:cs="Arial"/>
                <w:sz w:val="20"/>
                <w:szCs w:val="20"/>
              </w:rPr>
              <w:t xml:space="preserve">Construire un programme d’action de prévention primaire </w:t>
            </w:r>
          </w:p>
          <w:p w14:paraId="0AF69879" w14:textId="3A7E5A97" w:rsidR="00F04A80" w:rsidRPr="0023099A" w:rsidRDefault="00F04A80" w:rsidP="0023099A">
            <w:pPr>
              <w:pStyle w:val="Paragraphedeliste"/>
              <w:numPr>
                <w:ilvl w:val="0"/>
                <w:numId w:val="2"/>
              </w:numPr>
              <w:rPr>
                <w:rFonts w:ascii="Arial" w:hAnsi="Arial" w:cs="Arial"/>
                <w:sz w:val="20"/>
                <w:szCs w:val="20"/>
              </w:rPr>
            </w:pPr>
            <w:r>
              <w:rPr>
                <w:rFonts w:ascii="Arial" w:hAnsi="Arial" w:cs="Arial"/>
                <w:sz w:val="20"/>
                <w:szCs w:val="20"/>
              </w:rPr>
              <w:t>Diffuser l’information sur le programme d’action auprès du grand public</w:t>
            </w:r>
          </w:p>
        </w:tc>
      </w:tr>
      <w:tr w:rsidR="00354DE9" w:rsidRPr="00354DE9" w14:paraId="067C8223" w14:textId="77777777" w:rsidTr="00EE1636">
        <w:trPr>
          <w:trHeight w:val="28"/>
          <w:jc w:val="center"/>
        </w:trPr>
        <w:tc>
          <w:tcPr>
            <w:tcW w:w="2547" w:type="dxa"/>
            <w:shd w:val="clear" w:color="auto" w:fill="FFFFFF" w:themeFill="background1"/>
            <w:vAlign w:val="center"/>
          </w:tcPr>
          <w:p w14:paraId="1C483B8A" w14:textId="77777777" w:rsidR="00003907" w:rsidRDefault="00354DE9" w:rsidP="00155A3B">
            <w:pPr>
              <w:rPr>
                <w:rFonts w:ascii="Arial" w:hAnsi="Arial" w:cs="Arial"/>
                <w:b/>
                <w:sz w:val="20"/>
                <w:szCs w:val="20"/>
              </w:rPr>
            </w:pPr>
            <w:r w:rsidRPr="00354DE9">
              <w:rPr>
                <w:rFonts w:ascii="Arial" w:hAnsi="Arial" w:cs="Arial"/>
                <w:b/>
                <w:sz w:val="20"/>
                <w:szCs w:val="20"/>
              </w:rPr>
              <w:t>Objectifs opérationnels</w:t>
            </w:r>
          </w:p>
          <w:p w14:paraId="1A20E345" w14:textId="77777777" w:rsidR="00723B4D" w:rsidRPr="00354DE9" w:rsidRDefault="00723B4D" w:rsidP="00155A3B">
            <w:pPr>
              <w:rPr>
                <w:rFonts w:ascii="Arial" w:hAnsi="Arial" w:cs="Arial"/>
                <w:i/>
                <w:sz w:val="20"/>
                <w:szCs w:val="20"/>
              </w:rPr>
            </w:pPr>
          </w:p>
        </w:tc>
        <w:tc>
          <w:tcPr>
            <w:tcW w:w="6973" w:type="dxa"/>
            <w:gridSpan w:val="4"/>
            <w:vAlign w:val="center"/>
          </w:tcPr>
          <w:p w14:paraId="59102942" w14:textId="77777777" w:rsidR="00003907" w:rsidRDefault="0023099A" w:rsidP="00F16670">
            <w:pPr>
              <w:rPr>
                <w:rFonts w:ascii="Arial" w:hAnsi="Arial" w:cs="Arial"/>
                <w:sz w:val="20"/>
                <w:szCs w:val="20"/>
              </w:rPr>
            </w:pPr>
            <w:r>
              <w:rPr>
                <w:rFonts w:ascii="Arial" w:hAnsi="Arial" w:cs="Arial"/>
                <w:sz w:val="20"/>
                <w:szCs w:val="20"/>
              </w:rPr>
              <w:t xml:space="preserve">A.1 Créer une instance de pilotage incluant des habitants </w:t>
            </w:r>
          </w:p>
          <w:p w14:paraId="34324156" w14:textId="77777777" w:rsidR="0023099A" w:rsidRDefault="0023099A" w:rsidP="00F16670">
            <w:pPr>
              <w:rPr>
                <w:rFonts w:ascii="Arial" w:hAnsi="Arial" w:cs="Arial"/>
                <w:sz w:val="20"/>
                <w:szCs w:val="20"/>
              </w:rPr>
            </w:pPr>
          </w:p>
          <w:p w14:paraId="179C7107" w14:textId="77777777" w:rsidR="0023099A" w:rsidRDefault="0023099A" w:rsidP="00F16670">
            <w:pPr>
              <w:rPr>
                <w:rFonts w:ascii="Arial" w:hAnsi="Arial" w:cs="Arial"/>
                <w:sz w:val="20"/>
                <w:szCs w:val="20"/>
              </w:rPr>
            </w:pPr>
            <w:r>
              <w:rPr>
                <w:rFonts w:ascii="Arial" w:hAnsi="Arial" w:cs="Arial"/>
                <w:sz w:val="20"/>
                <w:szCs w:val="20"/>
              </w:rPr>
              <w:t>B.1 Elaborer un programme d’action annuelle sur la prévention primaire</w:t>
            </w:r>
          </w:p>
          <w:p w14:paraId="5343B9AD" w14:textId="77777777" w:rsidR="00F04A80" w:rsidRDefault="00F04A80" w:rsidP="00F16670">
            <w:pPr>
              <w:rPr>
                <w:rFonts w:ascii="Arial" w:hAnsi="Arial" w:cs="Arial"/>
                <w:sz w:val="20"/>
                <w:szCs w:val="20"/>
              </w:rPr>
            </w:pPr>
          </w:p>
          <w:p w14:paraId="7ABB8223" w14:textId="466F25F7" w:rsidR="00F04A80" w:rsidRPr="00354DE9" w:rsidRDefault="00F04A80" w:rsidP="00F16670">
            <w:pPr>
              <w:rPr>
                <w:rFonts w:ascii="Arial" w:hAnsi="Arial" w:cs="Arial"/>
                <w:sz w:val="20"/>
                <w:szCs w:val="20"/>
              </w:rPr>
            </w:pPr>
            <w:r>
              <w:rPr>
                <w:rFonts w:ascii="Arial" w:hAnsi="Arial" w:cs="Arial"/>
                <w:sz w:val="20"/>
                <w:szCs w:val="20"/>
              </w:rPr>
              <w:t>C.1 Retravailler la plateforme santé en ajoutant des onglets thématiques</w:t>
            </w:r>
          </w:p>
        </w:tc>
      </w:tr>
      <w:tr w:rsidR="00354DE9" w:rsidRPr="00354DE9" w14:paraId="54FB8D0F" w14:textId="77777777" w:rsidTr="00C55AAD">
        <w:trPr>
          <w:trHeight w:val="567"/>
          <w:jc w:val="center"/>
        </w:trPr>
        <w:tc>
          <w:tcPr>
            <w:tcW w:w="2547" w:type="dxa"/>
            <w:shd w:val="clear" w:color="auto" w:fill="FFFFFF" w:themeFill="background1"/>
            <w:vAlign w:val="center"/>
          </w:tcPr>
          <w:p w14:paraId="71993148" w14:textId="77777777" w:rsidR="0057104E" w:rsidRPr="00354DE9" w:rsidRDefault="0057104E" w:rsidP="00B31A27">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vAlign w:val="center"/>
          </w:tcPr>
          <w:p w14:paraId="6D916CDD" w14:textId="185BA893" w:rsidR="001B3942" w:rsidRPr="00EA21A9" w:rsidRDefault="00EA21A9" w:rsidP="00EA21A9">
            <w:pPr>
              <w:jc w:val="center"/>
              <w:rPr>
                <w:rFonts w:ascii="Arial" w:hAnsi="Arial" w:cs="Arial"/>
                <w:b/>
                <w:sz w:val="20"/>
                <w:szCs w:val="20"/>
              </w:rPr>
            </w:pPr>
            <w:r w:rsidRPr="00EA21A9">
              <w:rPr>
                <w:rFonts w:ascii="Arial" w:hAnsi="Arial" w:cs="Arial"/>
                <w:b/>
                <w:sz w:val="20"/>
                <w:szCs w:val="20"/>
              </w:rPr>
              <w:t>Impliquer les habitants dans l’élaboration du programme de santé</w:t>
            </w:r>
          </w:p>
          <w:p w14:paraId="44975EAE" w14:textId="77777777" w:rsidR="00EA21A9" w:rsidRDefault="00EA21A9" w:rsidP="00743CCC">
            <w:pPr>
              <w:jc w:val="both"/>
              <w:rPr>
                <w:rFonts w:ascii="Arial" w:hAnsi="Arial" w:cs="Arial"/>
                <w:sz w:val="20"/>
                <w:szCs w:val="20"/>
              </w:rPr>
            </w:pPr>
          </w:p>
          <w:p w14:paraId="3B5C0C80" w14:textId="21F37F16" w:rsidR="00735555" w:rsidRDefault="00735555" w:rsidP="00743CCC">
            <w:pPr>
              <w:jc w:val="both"/>
              <w:rPr>
                <w:rFonts w:ascii="Arial" w:hAnsi="Arial" w:cs="Arial"/>
                <w:sz w:val="20"/>
                <w:szCs w:val="20"/>
              </w:rPr>
            </w:pPr>
            <w:r>
              <w:rPr>
                <w:rFonts w:ascii="Arial" w:hAnsi="Arial" w:cs="Arial"/>
                <w:sz w:val="20"/>
                <w:szCs w:val="20"/>
              </w:rPr>
              <w:t>Le PETR sera accompagné par un cabinet afin d’assurer une mobilisation profonde et durable de la population. La première étape sera donc de créer un cahier des charges et de lancer un marché public. Un second temps servira à cadrer avec le cabinet les demandes faites aux habitants afin d’éviter les dérives.</w:t>
            </w:r>
          </w:p>
          <w:p w14:paraId="23638FB3" w14:textId="6DB106BA" w:rsidR="004A4530" w:rsidRDefault="001B3942" w:rsidP="00743CCC">
            <w:pPr>
              <w:jc w:val="both"/>
              <w:rPr>
                <w:rFonts w:ascii="Arial" w:hAnsi="Arial" w:cs="Arial"/>
                <w:sz w:val="20"/>
                <w:szCs w:val="20"/>
              </w:rPr>
            </w:pPr>
            <w:r w:rsidRPr="00743CCC">
              <w:rPr>
                <w:rFonts w:ascii="Arial" w:hAnsi="Arial" w:cs="Arial"/>
                <w:sz w:val="20"/>
                <w:szCs w:val="20"/>
              </w:rPr>
              <w:t xml:space="preserve">Après un travail avec les communautés de communes, un appel à candidature sera </w:t>
            </w:r>
            <w:r w:rsidR="003D47C1" w:rsidRPr="00743CCC">
              <w:rPr>
                <w:rFonts w:ascii="Arial" w:hAnsi="Arial" w:cs="Arial"/>
                <w:sz w:val="20"/>
                <w:szCs w:val="20"/>
              </w:rPr>
              <w:t>lancé</w:t>
            </w:r>
            <w:r w:rsidRPr="00743CCC">
              <w:rPr>
                <w:rFonts w:ascii="Arial" w:hAnsi="Arial" w:cs="Arial"/>
                <w:sz w:val="20"/>
                <w:szCs w:val="20"/>
              </w:rPr>
              <w:t xml:space="preserve"> pour les habitants </w:t>
            </w:r>
            <w:r w:rsidR="00296543">
              <w:rPr>
                <w:rFonts w:ascii="Arial" w:hAnsi="Arial" w:cs="Arial"/>
                <w:sz w:val="20"/>
                <w:szCs w:val="20"/>
              </w:rPr>
              <w:t xml:space="preserve">et de les intégrer dans </w:t>
            </w:r>
            <w:r w:rsidR="00EA21A9">
              <w:rPr>
                <w:rFonts w:ascii="Arial" w:hAnsi="Arial" w:cs="Arial"/>
                <w:sz w:val="20"/>
                <w:szCs w:val="20"/>
              </w:rPr>
              <w:t>un</w:t>
            </w:r>
            <w:r w:rsidR="00296543">
              <w:rPr>
                <w:rFonts w:ascii="Arial" w:hAnsi="Arial" w:cs="Arial"/>
                <w:sz w:val="20"/>
                <w:szCs w:val="20"/>
              </w:rPr>
              <w:t xml:space="preserve"> comité de pilotage</w:t>
            </w:r>
            <w:r w:rsidR="00EA21A9">
              <w:rPr>
                <w:rFonts w:ascii="Arial" w:hAnsi="Arial" w:cs="Arial"/>
                <w:sz w:val="20"/>
                <w:szCs w:val="20"/>
              </w:rPr>
              <w:t xml:space="preserve"> en santé</w:t>
            </w:r>
            <w:r w:rsidR="00296543">
              <w:rPr>
                <w:rFonts w:ascii="Arial" w:hAnsi="Arial" w:cs="Arial"/>
                <w:sz w:val="20"/>
                <w:szCs w:val="20"/>
              </w:rPr>
              <w:t xml:space="preserve"> sur le territoire</w:t>
            </w:r>
            <w:r w:rsidRPr="00743CCC">
              <w:rPr>
                <w:rFonts w:ascii="Arial" w:hAnsi="Arial" w:cs="Arial"/>
                <w:sz w:val="20"/>
                <w:szCs w:val="20"/>
              </w:rPr>
              <w:t xml:space="preserve">. </w:t>
            </w:r>
            <w:r w:rsidR="004A4530">
              <w:rPr>
                <w:rFonts w:ascii="Arial" w:hAnsi="Arial" w:cs="Arial"/>
                <w:sz w:val="20"/>
                <w:szCs w:val="20"/>
              </w:rPr>
              <w:t>Afin d’appuyer le coordinateur CLS dans la mobilisation, un cabinet permettra d’appuyer la démarche.</w:t>
            </w:r>
          </w:p>
          <w:p w14:paraId="3E4EF0AF" w14:textId="6F86CD05" w:rsidR="00743CCC" w:rsidRPr="00743CCC" w:rsidRDefault="001B3942" w:rsidP="00743CCC">
            <w:pPr>
              <w:jc w:val="both"/>
              <w:rPr>
                <w:rFonts w:ascii="Arial" w:hAnsi="Arial" w:cs="Arial"/>
                <w:sz w:val="20"/>
                <w:szCs w:val="20"/>
              </w:rPr>
            </w:pPr>
            <w:r w:rsidRPr="00743CCC">
              <w:rPr>
                <w:rFonts w:ascii="Arial" w:hAnsi="Arial" w:cs="Arial"/>
                <w:sz w:val="20"/>
                <w:szCs w:val="20"/>
              </w:rPr>
              <w:t>Suite aux « recrutements » des habitants un comité de pilotage</w:t>
            </w:r>
            <w:r w:rsidR="004A4530">
              <w:rPr>
                <w:rFonts w:ascii="Arial" w:hAnsi="Arial" w:cs="Arial"/>
                <w:sz w:val="20"/>
                <w:szCs w:val="20"/>
              </w:rPr>
              <w:t xml:space="preserve"> par communautés de communes</w:t>
            </w:r>
            <w:r w:rsidRPr="00743CCC">
              <w:rPr>
                <w:rFonts w:ascii="Arial" w:hAnsi="Arial" w:cs="Arial"/>
                <w:sz w:val="20"/>
                <w:szCs w:val="20"/>
              </w:rPr>
              <w:t xml:space="preserve"> en santé sera instauré pour l’élaboration d’un projet </w:t>
            </w:r>
            <w:r w:rsidR="00EA21A9">
              <w:rPr>
                <w:rFonts w:ascii="Arial" w:hAnsi="Arial" w:cs="Arial"/>
                <w:sz w:val="20"/>
                <w:szCs w:val="20"/>
              </w:rPr>
              <w:t>incluant</w:t>
            </w:r>
            <w:r w:rsidR="001E4A0D" w:rsidRPr="00743CCC">
              <w:rPr>
                <w:rFonts w:ascii="Arial" w:hAnsi="Arial" w:cs="Arial"/>
                <w:sz w:val="20"/>
                <w:szCs w:val="20"/>
              </w:rPr>
              <w:t xml:space="preserve"> 5 thématiques : </w:t>
            </w:r>
            <w:r w:rsidR="00743CCC">
              <w:rPr>
                <w:rFonts w:ascii="Arial" w:hAnsi="Arial" w:cs="Arial"/>
                <w:sz w:val="20"/>
                <w:szCs w:val="20"/>
              </w:rPr>
              <w:t>l</w:t>
            </w:r>
            <w:r w:rsidR="00743CCC" w:rsidRPr="00743CCC">
              <w:rPr>
                <w:rFonts w:ascii="Arial" w:hAnsi="Arial" w:cs="Arial"/>
                <w:sz w:val="20"/>
                <w:szCs w:val="20"/>
              </w:rPr>
              <w:t xml:space="preserve">’alimentation, </w:t>
            </w:r>
            <w:r w:rsidR="00743CCC">
              <w:rPr>
                <w:rFonts w:ascii="Arial" w:hAnsi="Arial" w:cs="Arial"/>
                <w:sz w:val="20"/>
                <w:szCs w:val="20"/>
              </w:rPr>
              <w:t>l</w:t>
            </w:r>
            <w:r w:rsidR="00743CCC" w:rsidRPr="00743CCC">
              <w:rPr>
                <w:rFonts w:ascii="Arial" w:hAnsi="Arial" w:cs="Arial"/>
                <w:sz w:val="20"/>
                <w:szCs w:val="20"/>
              </w:rPr>
              <w:t xml:space="preserve">’activité physique, </w:t>
            </w:r>
            <w:r w:rsidR="00743CCC">
              <w:rPr>
                <w:rFonts w:ascii="Arial" w:hAnsi="Arial" w:cs="Arial"/>
                <w:sz w:val="20"/>
                <w:szCs w:val="20"/>
              </w:rPr>
              <w:t>l</w:t>
            </w:r>
            <w:r w:rsidR="00743CCC" w:rsidRPr="00743CCC">
              <w:rPr>
                <w:rFonts w:ascii="Arial" w:hAnsi="Arial" w:cs="Arial"/>
                <w:sz w:val="20"/>
                <w:szCs w:val="20"/>
              </w:rPr>
              <w:t xml:space="preserve">e sommeil, </w:t>
            </w:r>
            <w:r w:rsidR="00743CCC">
              <w:rPr>
                <w:rFonts w:ascii="Arial" w:hAnsi="Arial" w:cs="Arial"/>
                <w:sz w:val="20"/>
                <w:szCs w:val="20"/>
              </w:rPr>
              <w:t>l</w:t>
            </w:r>
            <w:r w:rsidR="00743CCC" w:rsidRPr="00743CCC">
              <w:rPr>
                <w:rFonts w:ascii="Arial" w:hAnsi="Arial" w:cs="Arial"/>
                <w:sz w:val="20"/>
                <w:szCs w:val="20"/>
              </w:rPr>
              <w:t xml:space="preserve">es </w:t>
            </w:r>
            <w:r w:rsidR="004A4530">
              <w:rPr>
                <w:rFonts w:ascii="Arial" w:hAnsi="Arial" w:cs="Arial"/>
                <w:sz w:val="20"/>
                <w:szCs w:val="20"/>
              </w:rPr>
              <w:t>polluants et</w:t>
            </w:r>
            <w:r w:rsidR="00743CCC">
              <w:rPr>
                <w:rFonts w:ascii="Arial" w:hAnsi="Arial" w:cs="Arial"/>
                <w:sz w:val="20"/>
                <w:szCs w:val="20"/>
              </w:rPr>
              <w:t xml:space="preserve"> l</w:t>
            </w:r>
            <w:r w:rsidR="00743CCC" w:rsidRPr="00743CCC">
              <w:rPr>
                <w:rFonts w:ascii="Arial" w:hAnsi="Arial" w:cs="Arial"/>
                <w:sz w:val="20"/>
                <w:szCs w:val="20"/>
              </w:rPr>
              <w:t>a santé mentale</w:t>
            </w:r>
            <w:r w:rsidR="00296543">
              <w:rPr>
                <w:rFonts w:ascii="Arial" w:hAnsi="Arial" w:cs="Arial"/>
                <w:sz w:val="20"/>
                <w:szCs w:val="20"/>
              </w:rPr>
              <w:t>.</w:t>
            </w:r>
            <w:r w:rsidR="00743CCC" w:rsidRPr="00743CCC">
              <w:rPr>
                <w:rFonts w:ascii="Arial" w:hAnsi="Arial" w:cs="Arial"/>
                <w:sz w:val="20"/>
                <w:szCs w:val="20"/>
              </w:rPr>
              <w:t xml:space="preserve"> </w:t>
            </w:r>
          </w:p>
          <w:p w14:paraId="5F9AB2FC" w14:textId="5B3B503D" w:rsidR="001B3942" w:rsidRDefault="004E717D" w:rsidP="001B3942">
            <w:pPr>
              <w:jc w:val="both"/>
              <w:rPr>
                <w:rFonts w:ascii="Arial" w:hAnsi="Arial" w:cs="Arial"/>
                <w:sz w:val="20"/>
                <w:szCs w:val="20"/>
              </w:rPr>
            </w:pPr>
            <w:r>
              <w:rPr>
                <w:rFonts w:ascii="Arial" w:hAnsi="Arial" w:cs="Arial"/>
                <w:sz w:val="20"/>
                <w:szCs w:val="20"/>
              </w:rPr>
              <w:t>Les habitants pourront s’appuyer sur les partenaires existants</w:t>
            </w:r>
            <w:r w:rsidR="002B4AA8">
              <w:rPr>
                <w:rFonts w:ascii="Arial" w:hAnsi="Arial" w:cs="Arial"/>
                <w:sz w:val="20"/>
                <w:szCs w:val="20"/>
              </w:rPr>
              <w:t xml:space="preserve"> (associations, collectivités)</w:t>
            </w:r>
            <w:r w:rsidR="004A4530">
              <w:rPr>
                <w:rFonts w:ascii="Arial" w:hAnsi="Arial" w:cs="Arial"/>
                <w:sz w:val="20"/>
                <w:szCs w:val="20"/>
              </w:rPr>
              <w:t xml:space="preserve"> pour imaginer des actions autour des 5 thématiques</w:t>
            </w:r>
            <w:r>
              <w:rPr>
                <w:rFonts w:ascii="Arial" w:hAnsi="Arial" w:cs="Arial"/>
                <w:sz w:val="20"/>
                <w:szCs w:val="20"/>
              </w:rPr>
              <w:t>. Le comité de pilotage sera encadré</w:t>
            </w:r>
            <w:r w:rsidR="00451E16">
              <w:rPr>
                <w:rFonts w:ascii="Arial" w:hAnsi="Arial" w:cs="Arial"/>
                <w:sz w:val="20"/>
                <w:szCs w:val="20"/>
              </w:rPr>
              <w:t xml:space="preserve"> par le coordinateur du contrat Local de Santé et appuyé par un élu référent sur le sujet ainsi que par l’ARS.</w:t>
            </w:r>
          </w:p>
          <w:p w14:paraId="4ED920AA" w14:textId="5A184DD0" w:rsidR="000420BA" w:rsidRDefault="000420BA" w:rsidP="001B3942">
            <w:pPr>
              <w:jc w:val="both"/>
              <w:rPr>
                <w:rFonts w:ascii="Arial" w:hAnsi="Arial" w:cs="Arial"/>
                <w:sz w:val="20"/>
                <w:szCs w:val="20"/>
              </w:rPr>
            </w:pPr>
            <w:r>
              <w:rPr>
                <w:rFonts w:ascii="Arial" w:hAnsi="Arial" w:cs="Arial"/>
                <w:sz w:val="20"/>
                <w:szCs w:val="20"/>
              </w:rPr>
              <w:t>Afin de mobiliser l’ensemble de la population, les conseils lycéens et collégiens seront également consultés, et une discussion avec</w:t>
            </w:r>
            <w:r w:rsidR="005A1BEA">
              <w:rPr>
                <w:rFonts w:ascii="Arial" w:hAnsi="Arial" w:cs="Arial"/>
                <w:sz w:val="20"/>
                <w:szCs w:val="20"/>
              </w:rPr>
              <w:t xml:space="preserve"> la mission locale et</w:t>
            </w:r>
            <w:r>
              <w:rPr>
                <w:rFonts w:ascii="Arial" w:hAnsi="Arial" w:cs="Arial"/>
                <w:sz w:val="20"/>
                <w:szCs w:val="20"/>
              </w:rPr>
              <w:t xml:space="preserve"> </w:t>
            </w:r>
            <w:r w:rsidR="005A1BEA">
              <w:rPr>
                <w:rFonts w:ascii="Arial" w:hAnsi="Arial" w:cs="Arial"/>
                <w:sz w:val="20"/>
                <w:szCs w:val="20"/>
              </w:rPr>
              <w:t>les épiceries solidaires permettra d’avoir un retour des populations vulnérables.</w:t>
            </w:r>
          </w:p>
          <w:p w14:paraId="15F3F863" w14:textId="77777777" w:rsidR="001B3942" w:rsidRDefault="001B3942" w:rsidP="001B3942">
            <w:pPr>
              <w:jc w:val="both"/>
              <w:rPr>
                <w:rFonts w:ascii="Arial" w:hAnsi="Arial" w:cs="Arial"/>
                <w:sz w:val="20"/>
                <w:szCs w:val="20"/>
              </w:rPr>
            </w:pPr>
          </w:p>
          <w:p w14:paraId="23AEDAB0" w14:textId="243CF903" w:rsidR="001B3942" w:rsidRPr="006D4294" w:rsidRDefault="009176CA" w:rsidP="006D4294">
            <w:pPr>
              <w:pStyle w:val="Paragraphedeliste"/>
              <w:spacing w:after="200" w:line="276" w:lineRule="auto"/>
              <w:rPr>
                <w:rFonts w:ascii="Arial" w:hAnsi="Arial" w:cs="Arial"/>
                <w:b/>
                <w:sz w:val="20"/>
                <w:szCs w:val="20"/>
              </w:rPr>
            </w:pPr>
            <w:r w:rsidRPr="009176CA">
              <w:rPr>
                <w:rFonts w:ascii="Arial" w:hAnsi="Arial" w:cs="Arial"/>
                <w:b/>
                <w:sz w:val="20"/>
                <w:szCs w:val="20"/>
              </w:rPr>
              <w:t xml:space="preserve">Construire un programme d’action de prévention primaire </w:t>
            </w:r>
          </w:p>
          <w:p w14:paraId="4E290617" w14:textId="62581673" w:rsidR="001B3942" w:rsidRDefault="001B3942" w:rsidP="003D47C1">
            <w:pPr>
              <w:jc w:val="both"/>
              <w:rPr>
                <w:rFonts w:ascii="Arial" w:hAnsi="Arial" w:cs="Arial"/>
                <w:sz w:val="20"/>
                <w:szCs w:val="20"/>
              </w:rPr>
            </w:pPr>
            <w:r>
              <w:rPr>
                <w:rFonts w:ascii="Arial" w:hAnsi="Arial" w:cs="Arial"/>
                <w:sz w:val="20"/>
                <w:szCs w:val="20"/>
              </w:rPr>
              <w:t>En premier lieu, les habi</w:t>
            </w:r>
            <w:r w:rsidR="003D47C1">
              <w:rPr>
                <w:rFonts w:ascii="Arial" w:hAnsi="Arial" w:cs="Arial"/>
                <w:sz w:val="20"/>
                <w:szCs w:val="20"/>
              </w:rPr>
              <w:t xml:space="preserve">tants seront formés </w:t>
            </w:r>
            <w:r w:rsidR="008C1994">
              <w:rPr>
                <w:rFonts w:ascii="Arial" w:hAnsi="Arial" w:cs="Arial"/>
                <w:sz w:val="20"/>
                <w:szCs w:val="20"/>
              </w:rPr>
              <w:t xml:space="preserve">pour devenir des médiateurs en santé, il faudra alors définir quel est le rôle et les messages à faire passer </w:t>
            </w:r>
            <w:r w:rsidR="003D47C1">
              <w:rPr>
                <w:rFonts w:ascii="Arial" w:hAnsi="Arial" w:cs="Arial"/>
                <w:sz w:val="20"/>
                <w:szCs w:val="20"/>
              </w:rPr>
              <w:t xml:space="preserve">(notamment sur la prévention). </w:t>
            </w:r>
            <w:r>
              <w:rPr>
                <w:rFonts w:ascii="Arial" w:hAnsi="Arial" w:cs="Arial"/>
                <w:sz w:val="20"/>
                <w:szCs w:val="20"/>
              </w:rPr>
              <w:t>Le comité de pilotage</w:t>
            </w:r>
            <w:r w:rsidR="009176CA">
              <w:rPr>
                <w:rFonts w:ascii="Arial" w:hAnsi="Arial" w:cs="Arial"/>
                <w:sz w:val="20"/>
                <w:szCs w:val="20"/>
              </w:rPr>
              <w:t xml:space="preserve"> en santé</w:t>
            </w:r>
            <w:r>
              <w:rPr>
                <w:rFonts w:ascii="Arial" w:hAnsi="Arial" w:cs="Arial"/>
                <w:sz w:val="20"/>
                <w:szCs w:val="20"/>
              </w:rPr>
              <w:t xml:space="preserve"> se réunira mensuellement afin de préparer un programme d’action</w:t>
            </w:r>
            <w:r w:rsidR="003D47C1">
              <w:rPr>
                <w:rFonts w:ascii="Arial" w:hAnsi="Arial" w:cs="Arial"/>
                <w:sz w:val="20"/>
                <w:szCs w:val="20"/>
              </w:rPr>
              <w:t xml:space="preserve"> annuelle</w:t>
            </w:r>
            <w:r>
              <w:rPr>
                <w:rFonts w:ascii="Arial" w:hAnsi="Arial" w:cs="Arial"/>
                <w:sz w:val="20"/>
                <w:szCs w:val="20"/>
              </w:rPr>
              <w:t xml:space="preserve"> sur la santé.</w:t>
            </w:r>
            <w:r w:rsidR="003D47C1">
              <w:rPr>
                <w:rFonts w:ascii="Arial" w:hAnsi="Arial" w:cs="Arial"/>
                <w:sz w:val="20"/>
                <w:szCs w:val="20"/>
              </w:rPr>
              <w:t xml:space="preserve"> Ce programme reprendra ainsi les préoccupations exprimées par les habitants.</w:t>
            </w:r>
          </w:p>
          <w:p w14:paraId="3C54F6DD" w14:textId="34F9BB28" w:rsidR="003D47C1" w:rsidRDefault="003D47C1" w:rsidP="003D47C1">
            <w:pPr>
              <w:jc w:val="both"/>
              <w:rPr>
                <w:rFonts w:ascii="Arial" w:hAnsi="Arial" w:cs="Arial"/>
                <w:sz w:val="20"/>
                <w:szCs w:val="20"/>
              </w:rPr>
            </w:pPr>
            <w:r>
              <w:rPr>
                <w:rFonts w:ascii="Arial" w:hAnsi="Arial" w:cs="Arial"/>
                <w:sz w:val="20"/>
                <w:szCs w:val="20"/>
              </w:rPr>
              <w:t xml:space="preserve">Une somme sera </w:t>
            </w:r>
            <w:r w:rsidR="006D4294">
              <w:rPr>
                <w:rFonts w:ascii="Arial" w:hAnsi="Arial" w:cs="Arial"/>
                <w:sz w:val="20"/>
                <w:szCs w:val="20"/>
              </w:rPr>
              <w:t>dédiée</w:t>
            </w:r>
            <w:r>
              <w:rPr>
                <w:rFonts w:ascii="Arial" w:hAnsi="Arial" w:cs="Arial"/>
                <w:sz w:val="20"/>
                <w:szCs w:val="20"/>
              </w:rPr>
              <w:t xml:space="preserve"> pour la mise en place de projets sous forme d’appel à projets ou à candidatures</w:t>
            </w:r>
            <w:r w:rsidR="009176CA">
              <w:rPr>
                <w:rFonts w:ascii="Arial" w:hAnsi="Arial" w:cs="Arial"/>
                <w:sz w:val="20"/>
                <w:szCs w:val="20"/>
              </w:rPr>
              <w:t>.</w:t>
            </w:r>
            <w:r>
              <w:rPr>
                <w:rFonts w:ascii="Arial" w:hAnsi="Arial" w:cs="Arial"/>
                <w:sz w:val="20"/>
                <w:szCs w:val="20"/>
              </w:rPr>
              <w:t xml:space="preserve"> </w:t>
            </w:r>
          </w:p>
          <w:p w14:paraId="7E3ED292" w14:textId="77777777" w:rsidR="003D47C1" w:rsidRDefault="003D47C1" w:rsidP="003D47C1">
            <w:pPr>
              <w:jc w:val="both"/>
              <w:rPr>
                <w:rFonts w:ascii="Arial" w:hAnsi="Arial" w:cs="Arial"/>
                <w:sz w:val="20"/>
                <w:szCs w:val="20"/>
              </w:rPr>
            </w:pPr>
          </w:p>
          <w:p w14:paraId="1979DC05" w14:textId="21385CB6" w:rsidR="00EF4997" w:rsidRDefault="00C07A30" w:rsidP="00C07A30">
            <w:pPr>
              <w:jc w:val="center"/>
              <w:rPr>
                <w:rFonts w:ascii="Arial" w:hAnsi="Arial" w:cs="Arial"/>
                <w:b/>
                <w:sz w:val="20"/>
                <w:szCs w:val="20"/>
              </w:rPr>
            </w:pPr>
            <w:r w:rsidRPr="00C07A30">
              <w:rPr>
                <w:rFonts w:ascii="Arial" w:hAnsi="Arial" w:cs="Arial"/>
                <w:b/>
                <w:sz w:val="20"/>
                <w:szCs w:val="20"/>
              </w:rPr>
              <w:t>Diffuser l’information sur le programme d’action auprès du grand public</w:t>
            </w:r>
          </w:p>
          <w:p w14:paraId="0A497315" w14:textId="77777777" w:rsidR="00533F6B" w:rsidRPr="00C07A30" w:rsidRDefault="00533F6B" w:rsidP="00C07A30">
            <w:pPr>
              <w:jc w:val="center"/>
              <w:rPr>
                <w:rFonts w:ascii="Arial" w:hAnsi="Arial" w:cs="Arial"/>
                <w:b/>
                <w:sz w:val="20"/>
                <w:szCs w:val="20"/>
              </w:rPr>
            </w:pPr>
          </w:p>
          <w:p w14:paraId="50504CB9" w14:textId="3629DC49" w:rsidR="003D47C1" w:rsidRDefault="003D47C1" w:rsidP="00C07A30">
            <w:pPr>
              <w:jc w:val="both"/>
              <w:rPr>
                <w:rFonts w:ascii="Arial" w:hAnsi="Arial" w:cs="Arial"/>
                <w:sz w:val="20"/>
                <w:szCs w:val="20"/>
              </w:rPr>
            </w:pPr>
            <w:r>
              <w:rPr>
                <w:rFonts w:ascii="Arial" w:hAnsi="Arial" w:cs="Arial"/>
                <w:sz w:val="20"/>
                <w:szCs w:val="20"/>
              </w:rPr>
              <w:t>L</w:t>
            </w:r>
            <w:r w:rsidR="00AB538F">
              <w:rPr>
                <w:rFonts w:ascii="Arial" w:hAnsi="Arial" w:cs="Arial"/>
                <w:sz w:val="20"/>
                <w:szCs w:val="20"/>
              </w:rPr>
              <w:t>e volet public de la</w:t>
            </w:r>
            <w:r>
              <w:rPr>
                <w:rFonts w:ascii="Arial" w:hAnsi="Arial" w:cs="Arial"/>
                <w:sz w:val="20"/>
                <w:szCs w:val="20"/>
              </w:rPr>
              <w:t xml:space="preserve"> plateforme santé sera retravaillée avec les habitants afin d’assurer une visibilité et la communication des actions proposées</w:t>
            </w:r>
            <w:r w:rsidR="00EF4997">
              <w:rPr>
                <w:rFonts w:ascii="Arial" w:hAnsi="Arial" w:cs="Arial"/>
                <w:sz w:val="20"/>
                <w:szCs w:val="20"/>
              </w:rPr>
              <w:t>.</w:t>
            </w:r>
            <w:r>
              <w:rPr>
                <w:rFonts w:ascii="Arial" w:hAnsi="Arial" w:cs="Arial"/>
                <w:sz w:val="20"/>
                <w:szCs w:val="20"/>
              </w:rPr>
              <w:t xml:space="preserve"> </w:t>
            </w:r>
          </w:p>
          <w:p w14:paraId="290C7D24" w14:textId="77777777" w:rsidR="001E4A0D" w:rsidRDefault="001E4A0D" w:rsidP="00C07A30">
            <w:pPr>
              <w:jc w:val="both"/>
              <w:rPr>
                <w:rFonts w:ascii="Arial" w:hAnsi="Arial" w:cs="Arial"/>
                <w:sz w:val="20"/>
                <w:szCs w:val="20"/>
              </w:rPr>
            </w:pPr>
            <w:r>
              <w:rPr>
                <w:rFonts w:ascii="Arial" w:hAnsi="Arial" w:cs="Arial"/>
                <w:sz w:val="20"/>
                <w:szCs w:val="20"/>
              </w:rPr>
              <w:t xml:space="preserve">Elle sera revue afin de correspondre à leur utilisation et à leurs besoins. </w:t>
            </w:r>
          </w:p>
          <w:p w14:paraId="1D049CAE" w14:textId="434FAD5C" w:rsidR="00AB538F" w:rsidRPr="003D47C1" w:rsidRDefault="00AB538F" w:rsidP="00C07A30">
            <w:pPr>
              <w:jc w:val="both"/>
              <w:rPr>
                <w:rFonts w:ascii="Arial" w:hAnsi="Arial" w:cs="Arial"/>
                <w:sz w:val="20"/>
                <w:szCs w:val="20"/>
              </w:rPr>
            </w:pPr>
            <w:r>
              <w:rPr>
                <w:rFonts w:ascii="Arial" w:hAnsi="Arial" w:cs="Arial"/>
                <w:sz w:val="20"/>
                <w:szCs w:val="20"/>
              </w:rPr>
              <w:t xml:space="preserve">Le volet professionnel sera également </w:t>
            </w:r>
            <w:r w:rsidR="00373DF8">
              <w:rPr>
                <w:rFonts w:ascii="Arial" w:hAnsi="Arial" w:cs="Arial"/>
                <w:sz w:val="20"/>
                <w:szCs w:val="20"/>
              </w:rPr>
              <w:t>retravaillé</w:t>
            </w:r>
            <w:r>
              <w:rPr>
                <w:rFonts w:ascii="Arial" w:hAnsi="Arial" w:cs="Arial"/>
                <w:sz w:val="20"/>
                <w:szCs w:val="20"/>
              </w:rPr>
              <w:t xml:space="preserve"> mais avec les acteurs du territoire pour permettre d’assurer une meilleure coordination des acteurs et une meilleure circulation des informations.</w:t>
            </w:r>
          </w:p>
        </w:tc>
      </w:tr>
      <w:tr w:rsidR="005C4530" w:rsidRPr="00354DE9" w14:paraId="40AE4069" w14:textId="77777777" w:rsidTr="00EE1636">
        <w:trPr>
          <w:trHeight w:val="285"/>
          <w:jc w:val="center"/>
        </w:trPr>
        <w:tc>
          <w:tcPr>
            <w:tcW w:w="2547" w:type="dxa"/>
            <w:shd w:val="clear" w:color="auto" w:fill="FFFFFF" w:themeFill="background1"/>
            <w:vAlign w:val="center"/>
          </w:tcPr>
          <w:p w14:paraId="515F6E16" w14:textId="77777777" w:rsidR="005C4530" w:rsidRPr="00354DE9" w:rsidRDefault="005C4530" w:rsidP="00562D16">
            <w:pPr>
              <w:rPr>
                <w:rFonts w:ascii="Arial" w:hAnsi="Arial" w:cs="Arial"/>
                <w:b/>
                <w:sz w:val="20"/>
                <w:szCs w:val="20"/>
              </w:rPr>
            </w:pPr>
            <w:r>
              <w:rPr>
                <w:rFonts w:ascii="Arial" w:hAnsi="Arial" w:cs="Arial"/>
                <w:b/>
                <w:sz w:val="20"/>
                <w:szCs w:val="20"/>
              </w:rPr>
              <w:t>Durée de l’action</w:t>
            </w:r>
          </w:p>
        </w:tc>
        <w:tc>
          <w:tcPr>
            <w:tcW w:w="6973" w:type="dxa"/>
            <w:gridSpan w:val="4"/>
            <w:tcBorders>
              <w:bottom w:val="single" w:sz="4" w:space="0" w:color="auto"/>
            </w:tcBorders>
            <w:vAlign w:val="center"/>
          </w:tcPr>
          <w:p w14:paraId="550F2293" w14:textId="11D23F5B" w:rsidR="005C4530" w:rsidRPr="00354DE9" w:rsidRDefault="005C4530" w:rsidP="00454C16">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Pr>
                <w:rFonts w:ascii="Arial" w:hAnsi="Arial" w:cs="Arial"/>
                <w:sz w:val="20"/>
                <w:szCs w:val="20"/>
              </w:rPr>
              <w:t xml:space="preserve">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t xml:space="preserve">     </w:t>
            </w:r>
            <w:r>
              <w:rPr>
                <w:rFonts w:ascii="Arial" w:hAnsi="Arial" w:cs="Arial"/>
                <w:sz w:val="20"/>
                <w:szCs w:val="20"/>
              </w:rPr>
              <w:t xml:space="preserve">   </w:t>
            </w:r>
            <w:r w:rsidR="0023099A">
              <w:rPr>
                <w:rFonts w:ascii="Arial" w:hAnsi="Arial" w:cs="Arial"/>
                <w:sz w:val="20"/>
                <w:szCs w:val="20"/>
              </w:rPr>
              <w:fldChar w:fldCharType="begin">
                <w:ffData>
                  <w:name w:val=""/>
                  <w:enabled/>
                  <w:calcOnExit w:val="0"/>
                  <w:checkBox>
                    <w:sizeAuto/>
                    <w:default w:val="1"/>
                  </w:checkBox>
                </w:ffData>
              </w:fldChar>
            </w:r>
            <w:r w:rsidR="0023099A">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0023099A">
              <w:rPr>
                <w:rFonts w:ascii="Arial" w:hAnsi="Arial" w:cs="Arial"/>
                <w:sz w:val="20"/>
                <w:szCs w:val="20"/>
              </w:rPr>
              <w:fldChar w:fldCharType="end"/>
            </w:r>
            <w:r>
              <w:rPr>
                <w:rFonts w:ascii="Arial" w:hAnsi="Arial" w:cs="Arial"/>
                <w:sz w:val="20"/>
                <w:szCs w:val="20"/>
              </w:rPr>
              <w:t>Pluriannuelle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23099A">
              <w:rPr>
                <w:rFonts w:ascii="Arial" w:hAnsi="Arial" w:cs="Arial"/>
                <w:sz w:val="20"/>
                <w:szCs w:val="20"/>
              </w:rPr>
              <w:t xml:space="preserve"> 2025</w:t>
            </w:r>
            <w:r>
              <w:rPr>
                <w:rFonts w:ascii="Arial" w:hAnsi="Arial" w:cs="Arial"/>
                <w:sz w:val="20"/>
                <w:szCs w:val="20"/>
              </w:rPr>
              <w:t xml:space="preserve">                                    Fin : </w:t>
            </w:r>
            <w:r w:rsidR="0023099A">
              <w:rPr>
                <w:rFonts w:ascii="Arial" w:hAnsi="Arial" w:cs="Arial"/>
                <w:sz w:val="20"/>
                <w:szCs w:val="20"/>
              </w:rPr>
              <w:t>2029</w:t>
            </w:r>
          </w:p>
        </w:tc>
      </w:tr>
      <w:tr w:rsidR="00354DE9" w:rsidRPr="00354DE9" w14:paraId="578871F3" w14:textId="77777777" w:rsidTr="00EE1636">
        <w:trPr>
          <w:trHeight w:val="285"/>
          <w:jc w:val="center"/>
        </w:trPr>
        <w:tc>
          <w:tcPr>
            <w:tcW w:w="2547" w:type="dxa"/>
            <w:shd w:val="clear" w:color="auto" w:fill="FFFFFF" w:themeFill="background1"/>
            <w:vAlign w:val="center"/>
          </w:tcPr>
          <w:p w14:paraId="77E9E245" w14:textId="77777777"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vAlign w:val="center"/>
          </w:tcPr>
          <w:p w14:paraId="629A6102" w14:textId="1A3AE514" w:rsidR="008E2932" w:rsidRPr="00354DE9" w:rsidRDefault="00373DF8" w:rsidP="00F16670">
            <w:pPr>
              <w:rPr>
                <w:rFonts w:ascii="Arial" w:hAnsi="Arial" w:cs="Arial"/>
                <w:sz w:val="20"/>
                <w:szCs w:val="20"/>
              </w:rPr>
            </w:pPr>
            <w:r>
              <w:rPr>
                <w:rFonts w:ascii="Arial" w:hAnsi="Arial" w:cs="Arial"/>
                <w:sz w:val="20"/>
                <w:szCs w:val="20"/>
              </w:rPr>
              <w:t>ARS, Mairies, Communautés de communes</w:t>
            </w:r>
            <w:r w:rsidR="006D4294">
              <w:rPr>
                <w:rFonts w:ascii="Arial" w:hAnsi="Arial" w:cs="Arial"/>
                <w:sz w:val="20"/>
                <w:szCs w:val="20"/>
              </w:rPr>
              <w:t xml:space="preserve">, CPAM, RLAM, </w:t>
            </w:r>
            <w:proofErr w:type="spellStart"/>
            <w:r w:rsidR="006D4294">
              <w:rPr>
                <w:rFonts w:ascii="Arial" w:hAnsi="Arial" w:cs="Arial"/>
                <w:sz w:val="20"/>
                <w:szCs w:val="20"/>
              </w:rPr>
              <w:t>CeA</w:t>
            </w:r>
            <w:proofErr w:type="spellEnd"/>
            <w:r w:rsidR="006D4294">
              <w:rPr>
                <w:rFonts w:ascii="Arial" w:hAnsi="Arial" w:cs="Arial"/>
                <w:sz w:val="20"/>
                <w:szCs w:val="20"/>
              </w:rPr>
              <w:t>, associations, établissements scolaires</w:t>
            </w:r>
          </w:p>
        </w:tc>
      </w:tr>
      <w:tr w:rsidR="0046751A" w:rsidRPr="00354DE9" w14:paraId="246B9C85" w14:textId="77777777" w:rsidTr="00A077A3">
        <w:trPr>
          <w:jc w:val="center"/>
        </w:trPr>
        <w:tc>
          <w:tcPr>
            <w:tcW w:w="2547" w:type="dxa"/>
            <w:shd w:val="clear" w:color="auto" w:fill="FFFFFF" w:themeFill="background1"/>
            <w:vAlign w:val="center"/>
          </w:tcPr>
          <w:p w14:paraId="28886A85" w14:textId="77777777" w:rsidR="0046751A" w:rsidRPr="00354DE9" w:rsidRDefault="0046751A" w:rsidP="00A077A3">
            <w:pPr>
              <w:rPr>
                <w:rFonts w:ascii="Arial" w:hAnsi="Arial" w:cs="Arial"/>
                <w:b/>
                <w:sz w:val="20"/>
                <w:szCs w:val="20"/>
              </w:rPr>
            </w:pPr>
            <w:r w:rsidRPr="00354DE9">
              <w:rPr>
                <w:rFonts w:ascii="Arial" w:hAnsi="Arial" w:cs="Arial"/>
                <w:b/>
                <w:sz w:val="20"/>
                <w:szCs w:val="20"/>
              </w:rPr>
              <w:t>Public visé</w:t>
            </w:r>
          </w:p>
        </w:tc>
        <w:tc>
          <w:tcPr>
            <w:tcW w:w="3486" w:type="dxa"/>
            <w:gridSpan w:val="3"/>
            <w:vAlign w:val="center"/>
          </w:tcPr>
          <w:p w14:paraId="146B31BB" w14:textId="77777777" w:rsidR="0053387F" w:rsidRDefault="0053387F" w:rsidP="00A077A3">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Pr>
                <w:rFonts w:ascii="Arial" w:hAnsi="Arial" w:cs="Arial"/>
                <w:sz w:val="20"/>
                <w:szCs w:val="20"/>
              </w:rPr>
              <w:t>Tout public</w:t>
            </w:r>
          </w:p>
          <w:p w14:paraId="6F5F9C5C" w14:textId="77777777" w:rsidR="00AC64C8" w:rsidRDefault="0053387F" w:rsidP="00A077A3">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C64C8">
              <w:rPr>
                <w:rFonts w:ascii="Arial" w:eastAsia="Times New Roman" w:hAnsi="Arial" w:cs="Arial"/>
                <w:sz w:val="20"/>
                <w:szCs w:val="20"/>
                <w:lang w:eastAsia="fr-FR"/>
              </w:rPr>
              <w:t>Jeunes enfants (0 à 6 ans)</w:t>
            </w:r>
          </w:p>
          <w:p w14:paraId="41FE75ED" w14:textId="77777777" w:rsidR="0046751A"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lastRenderedPageBreak/>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 xml:space="preserve">Enfants (7 à 11 ans) </w:t>
            </w:r>
          </w:p>
          <w:p w14:paraId="59FECC5A" w14:textId="4C5F9446" w:rsidR="0046751A" w:rsidRDefault="00760439" w:rsidP="00A077A3">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Adolescents (12 à 15 ans)</w:t>
            </w:r>
          </w:p>
          <w:p w14:paraId="1EF28EEF" w14:textId="33901D3F" w:rsidR="0046751A" w:rsidRPr="00354DE9" w:rsidRDefault="00760439" w:rsidP="00A077A3">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Jeunes Adultes (16 à 25 ans)</w:t>
            </w:r>
            <w:r w:rsidR="0046751A" w:rsidRPr="00354DE9">
              <w:rPr>
                <w:rFonts w:ascii="Arial" w:eastAsia="Times New Roman" w:hAnsi="Arial" w:cs="Arial"/>
                <w:sz w:val="20"/>
                <w:szCs w:val="20"/>
                <w:lang w:eastAsia="fr-FR"/>
              </w:rPr>
              <w:tab/>
            </w:r>
          </w:p>
          <w:p w14:paraId="5A62326D" w14:textId="7FB94B1D" w:rsidR="0046751A" w:rsidRDefault="000420BA" w:rsidP="00A077A3">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Adultes (26 à 65 ans)</w:t>
            </w:r>
          </w:p>
          <w:p w14:paraId="04356401" w14:textId="55B6A741" w:rsidR="0046751A" w:rsidRDefault="000420BA" w:rsidP="00A077A3">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Personnes âgées (&gt;65 ans)</w:t>
            </w:r>
          </w:p>
          <w:p w14:paraId="0F4A3D21" w14:textId="77777777" w:rsidR="0046751A"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b/>
                <w:sz w:val="20"/>
                <w:szCs w:val="20"/>
                <w:lang w:eastAsia="fr-FR"/>
              </w:rPr>
              <w:t>Professionnels*</w:t>
            </w:r>
          </w:p>
          <w:p w14:paraId="2E17C865" w14:textId="77777777" w:rsidR="0046751A" w:rsidRPr="00354DE9" w:rsidRDefault="0046751A" w:rsidP="00F47D59">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c>
          <w:tcPr>
            <w:tcW w:w="3487" w:type="dxa"/>
            <w:vAlign w:val="center"/>
          </w:tcPr>
          <w:p w14:paraId="616FA760" w14:textId="77777777" w:rsidR="0046751A" w:rsidRDefault="00AC64C8" w:rsidP="00A077A3">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lastRenderedPageBreak/>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14:paraId="1375022B" w14:textId="77777777" w:rsidR="0046751A" w:rsidRPr="00354DE9"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Médical</w:t>
            </w:r>
          </w:p>
          <w:p w14:paraId="0AE0DB81" w14:textId="77777777" w:rsidR="0046751A"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lastRenderedPageBreak/>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Paramédical</w:t>
            </w:r>
          </w:p>
          <w:p w14:paraId="6F5199F5" w14:textId="77777777" w:rsidR="008D747C" w:rsidRPr="00354DE9" w:rsidRDefault="008D747C" w:rsidP="00A077A3">
            <w:pPr>
              <w:tabs>
                <w:tab w:val="left" w:pos="3123"/>
              </w:tabs>
              <w:rPr>
                <w:rFonts w:ascii="Arial" w:eastAsia="Times New Roman" w:hAnsi="Arial" w:cs="Arial"/>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Médico-social</w:t>
            </w:r>
          </w:p>
          <w:p w14:paraId="288C51C1" w14:textId="77777777" w:rsidR="0046751A"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Social</w:t>
            </w:r>
          </w:p>
          <w:p w14:paraId="2A29156F" w14:textId="77777777" w:rsidR="0046751A" w:rsidRDefault="0046751A" w:rsidP="00A077A3">
            <w:pPr>
              <w:tabs>
                <w:tab w:val="left" w:pos="3123"/>
              </w:tabs>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De la prévention et de la promotion de la santé</w:t>
            </w:r>
            <w:r w:rsidRPr="00354DE9">
              <w:rPr>
                <w:rFonts w:ascii="Arial" w:hAnsi="Arial" w:cs="Arial"/>
                <w:sz w:val="20"/>
                <w:szCs w:val="20"/>
              </w:rPr>
              <w:t xml:space="preserve"> </w:t>
            </w:r>
          </w:p>
          <w:p w14:paraId="0527FF45" w14:textId="77777777" w:rsidR="0046751A" w:rsidRPr="00354DE9"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De l’éducation/la formation</w:t>
            </w:r>
          </w:p>
          <w:p w14:paraId="6A78B987" w14:textId="77777777" w:rsidR="0046751A" w:rsidRPr="00354DE9" w:rsidRDefault="0046751A" w:rsidP="00A077A3">
            <w:pPr>
              <w:tabs>
                <w:tab w:val="left" w:pos="3123"/>
              </w:tabs>
              <w:rPr>
                <w:rFonts w:ascii="Arial" w:eastAsia="Times New Roman" w:hAnsi="Arial" w:cs="Arial"/>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De la culture/Loisirs</w:t>
            </w:r>
          </w:p>
          <w:p w14:paraId="34726A7A" w14:textId="77777777" w:rsidR="0046751A" w:rsidRPr="00354DE9" w:rsidRDefault="0046751A" w:rsidP="00A077A3">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14:paraId="0DEA83B9" w14:textId="77777777" w:rsidTr="00C55AAD">
        <w:trPr>
          <w:trHeight w:val="346"/>
          <w:jc w:val="center"/>
        </w:trPr>
        <w:tc>
          <w:tcPr>
            <w:tcW w:w="2547" w:type="dxa"/>
            <w:shd w:val="clear" w:color="auto" w:fill="FFFFFF" w:themeFill="background1"/>
            <w:vAlign w:val="center"/>
          </w:tcPr>
          <w:p w14:paraId="4F6057C2" w14:textId="77777777" w:rsidR="008E2932" w:rsidRPr="00354DE9" w:rsidRDefault="008E2932" w:rsidP="00354DE9">
            <w:pPr>
              <w:rPr>
                <w:rFonts w:ascii="Arial" w:hAnsi="Arial" w:cs="Arial"/>
                <w:b/>
                <w:sz w:val="20"/>
                <w:szCs w:val="20"/>
              </w:rPr>
            </w:pPr>
            <w:r w:rsidRPr="00354DE9">
              <w:rPr>
                <w:rFonts w:ascii="Arial" w:hAnsi="Arial" w:cs="Arial"/>
                <w:b/>
                <w:sz w:val="20"/>
                <w:szCs w:val="20"/>
              </w:rPr>
              <w:lastRenderedPageBreak/>
              <w:t xml:space="preserve">Territoire </w:t>
            </w:r>
            <w:r w:rsidR="00354DE9" w:rsidRPr="00354DE9">
              <w:rPr>
                <w:rFonts w:ascii="Arial" w:hAnsi="Arial" w:cs="Arial"/>
                <w:b/>
                <w:sz w:val="20"/>
                <w:szCs w:val="20"/>
              </w:rPr>
              <w:t>d’intervention</w:t>
            </w:r>
          </w:p>
        </w:tc>
        <w:tc>
          <w:tcPr>
            <w:tcW w:w="6973" w:type="dxa"/>
            <w:gridSpan w:val="4"/>
            <w:vAlign w:val="center"/>
          </w:tcPr>
          <w:p w14:paraId="3E138538" w14:textId="0F34FE36" w:rsidR="008E2932" w:rsidRPr="00354DE9" w:rsidRDefault="006D4294" w:rsidP="00F16670">
            <w:pPr>
              <w:rPr>
                <w:rFonts w:ascii="Arial" w:hAnsi="Arial" w:cs="Arial"/>
                <w:sz w:val="20"/>
                <w:szCs w:val="20"/>
              </w:rPr>
            </w:pPr>
            <w:r>
              <w:rPr>
                <w:rFonts w:ascii="Arial" w:hAnsi="Arial" w:cs="Arial"/>
                <w:sz w:val="20"/>
                <w:szCs w:val="20"/>
              </w:rPr>
              <w:t xml:space="preserve">Territoire du CLS : </w:t>
            </w:r>
            <w:r w:rsidR="006C3C40">
              <w:rPr>
                <w:rFonts w:ascii="Arial" w:hAnsi="Arial" w:cs="Arial"/>
                <w:sz w:val="20"/>
                <w:szCs w:val="20"/>
              </w:rPr>
              <w:t>4 communautés de communes (CCHLPP, CCAB, CCPS, CCMV)</w:t>
            </w:r>
          </w:p>
        </w:tc>
      </w:tr>
      <w:tr w:rsidR="00F71D52" w:rsidRPr="00354DE9" w14:paraId="4BAE659D" w14:textId="77777777" w:rsidTr="00C55AAD">
        <w:trPr>
          <w:trHeight w:val="350"/>
          <w:jc w:val="center"/>
        </w:trPr>
        <w:tc>
          <w:tcPr>
            <w:tcW w:w="2547" w:type="dxa"/>
            <w:vMerge w:val="restart"/>
            <w:shd w:val="clear" w:color="auto" w:fill="FFFFFF" w:themeFill="background1"/>
            <w:vAlign w:val="center"/>
          </w:tcPr>
          <w:p w14:paraId="78CC0388" w14:textId="77777777"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D9D9D9" w:themeFill="background1" w:themeFillShade="D9"/>
            <w:vAlign w:val="center"/>
          </w:tcPr>
          <w:p w14:paraId="45B06281" w14:textId="77777777"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vAlign w:val="center"/>
          </w:tcPr>
          <w:p w14:paraId="7BB1CA76" w14:textId="19CA1718" w:rsidR="00F71D52" w:rsidRDefault="00760439" w:rsidP="00F16670">
            <w:pPr>
              <w:rPr>
                <w:rFonts w:ascii="Arial" w:hAnsi="Arial" w:cs="Arial"/>
                <w:sz w:val="20"/>
                <w:szCs w:val="20"/>
              </w:rPr>
            </w:pPr>
            <w:r>
              <w:rPr>
                <w:rFonts w:ascii="Arial" w:hAnsi="Arial" w:cs="Arial"/>
                <w:sz w:val="20"/>
                <w:szCs w:val="20"/>
              </w:rPr>
              <w:t xml:space="preserve">TSD : </w:t>
            </w:r>
            <w:r w:rsidR="00486704">
              <w:rPr>
                <w:rFonts w:ascii="Arial" w:hAnsi="Arial" w:cs="Arial"/>
                <w:sz w:val="20"/>
                <w:szCs w:val="20"/>
              </w:rPr>
              <w:t xml:space="preserve">30 000 </w:t>
            </w:r>
            <w:r w:rsidR="00BB6F9E">
              <w:rPr>
                <w:rFonts w:ascii="Arial" w:hAnsi="Arial" w:cs="Arial"/>
                <w:sz w:val="20"/>
                <w:szCs w:val="20"/>
              </w:rPr>
              <w:t>-</w:t>
            </w:r>
            <w:r w:rsidR="00486704">
              <w:rPr>
                <w:rFonts w:ascii="Arial" w:hAnsi="Arial" w:cs="Arial"/>
                <w:sz w:val="20"/>
                <w:szCs w:val="20"/>
              </w:rPr>
              <w:t>10 000 – 10 000 -10</w:t>
            </w:r>
            <w:r w:rsidR="00BB6F9E">
              <w:rPr>
                <w:rFonts w:ascii="Arial" w:hAnsi="Arial" w:cs="Arial"/>
                <w:sz w:val="20"/>
                <w:szCs w:val="20"/>
              </w:rPr>
              <w:t> </w:t>
            </w:r>
            <w:r w:rsidR="00486704">
              <w:rPr>
                <w:rFonts w:ascii="Arial" w:hAnsi="Arial" w:cs="Arial"/>
                <w:sz w:val="20"/>
                <w:szCs w:val="20"/>
              </w:rPr>
              <w:t>000</w:t>
            </w:r>
            <w:r w:rsidR="00BB6F9E">
              <w:rPr>
                <w:rFonts w:ascii="Arial" w:hAnsi="Arial" w:cs="Arial"/>
                <w:sz w:val="20"/>
                <w:szCs w:val="20"/>
              </w:rPr>
              <w:t xml:space="preserve"> (60 000)</w:t>
            </w:r>
          </w:p>
          <w:p w14:paraId="1ABFD07F" w14:textId="7FCBF6FA" w:rsidR="00760439" w:rsidRPr="00354DE9" w:rsidRDefault="006D4294" w:rsidP="00F16670">
            <w:pPr>
              <w:rPr>
                <w:rFonts w:ascii="Arial" w:hAnsi="Arial" w:cs="Arial"/>
                <w:sz w:val="20"/>
                <w:szCs w:val="20"/>
              </w:rPr>
            </w:pPr>
            <w:r>
              <w:rPr>
                <w:rFonts w:ascii="Arial" w:hAnsi="Arial" w:cs="Arial"/>
                <w:sz w:val="20"/>
                <w:szCs w:val="20"/>
              </w:rPr>
              <w:t xml:space="preserve">RLAM / </w:t>
            </w:r>
            <w:r w:rsidR="00703CD0">
              <w:rPr>
                <w:rFonts w:ascii="Arial" w:hAnsi="Arial" w:cs="Arial"/>
                <w:sz w:val="20"/>
                <w:szCs w:val="20"/>
              </w:rPr>
              <w:t>CRSA</w:t>
            </w:r>
            <w:r w:rsidR="00486704">
              <w:rPr>
                <w:rFonts w:ascii="Arial" w:hAnsi="Arial" w:cs="Arial"/>
                <w:sz w:val="20"/>
                <w:szCs w:val="20"/>
              </w:rPr>
              <w:t xml:space="preserve"> : 30 000 </w:t>
            </w:r>
            <w:r w:rsidR="00BB6F9E">
              <w:rPr>
                <w:rFonts w:ascii="Arial" w:hAnsi="Arial" w:cs="Arial"/>
                <w:sz w:val="20"/>
                <w:szCs w:val="20"/>
              </w:rPr>
              <w:t>-</w:t>
            </w:r>
            <w:r w:rsidR="00486704">
              <w:rPr>
                <w:rFonts w:ascii="Arial" w:hAnsi="Arial" w:cs="Arial"/>
                <w:sz w:val="20"/>
                <w:szCs w:val="20"/>
              </w:rPr>
              <w:t>10 000 – 10 000 – 10</w:t>
            </w:r>
            <w:r w:rsidR="00BB6F9E">
              <w:rPr>
                <w:rFonts w:ascii="Arial" w:hAnsi="Arial" w:cs="Arial"/>
                <w:sz w:val="20"/>
                <w:szCs w:val="20"/>
              </w:rPr>
              <w:t> </w:t>
            </w:r>
            <w:r w:rsidR="00486704">
              <w:rPr>
                <w:rFonts w:ascii="Arial" w:hAnsi="Arial" w:cs="Arial"/>
                <w:sz w:val="20"/>
                <w:szCs w:val="20"/>
              </w:rPr>
              <w:t>000</w:t>
            </w:r>
            <w:r w:rsidR="00BB6F9E">
              <w:rPr>
                <w:rFonts w:ascii="Arial" w:hAnsi="Arial" w:cs="Arial"/>
                <w:sz w:val="20"/>
                <w:szCs w:val="20"/>
              </w:rPr>
              <w:t xml:space="preserve"> (60 000)</w:t>
            </w:r>
          </w:p>
        </w:tc>
      </w:tr>
      <w:tr w:rsidR="00F71D52" w:rsidRPr="00354DE9" w14:paraId="003021EB" w14:textId="77777777" w:rsidTr="00C55AAD">
        <w:trPr>
          <w:trHeight w:val="199"/>
          <w:jc w:val="center"/>
        </w:trPr>
        <w:tc>
          <w:tcPr>
            <w:tcW w:w="2547" w:type="dxa"/>
            <w:vMerge/>
            <w:shd w:val="clear" w:color="auto" w:fill="FFFFFF" w:themeFill="background1"/>
            <w:vAlign w:val="center"/>
          </w:tcPr>
          <w:p w14:paraId="7C7D0AD4" w14:textId="77777777" w:rsidR="00F71D52" w:rsidRPr="00354DE9" w:rsidRDefault="00F71D52" w:rsidP="0057104E">
            <w:pPr>
              <w:rPr>
                <w:rFonts w:ascii="Arial" w:hAnsi="Arial" w:cs="Arial"/>
                <w:b/>
                <w:sz w:val="20"/>
                <w:szCs w:val="20"/>
              </w:rPr>
            </w:pPr>
          </w:p>
        </w:tc>
        <w:tc>
          <w:tcPr>
            <w:tcW w:w="1789" w:type="dxa"/>
            <w:gridSpan w:val="2"/>
            <w:shd w:val="clear" w:color="auto" w:fill="D9D9D9" w:themeFill="background1" w:themeFillShade="D9"/>
            <w:vAlign w:val="center"/>
          </w:tcPr>
          <w:p w14:paraId="64155C34" w14:textId="77777777" w:rsidR="00F71D52" w:rsidRPr="00F71D52" w:rsidRDefault="00F71D52" w:rsidP="007F296F">
            <w:pPr>
              <w:rPr>
                <w:rFonts w:ascii="Arial" w:hAnsi="Arial" w:cs="Arial"/>
                <w:i/>
                <w:sz w:val="18"/>
                <w:szCs w:val="18"/>
              </w:rPr>
            </w:pPr>
            <w:r w:rsidRPr="00F71D52">
              <w:rPr>
                <w:rFonts w:ascii="Arial" w:hAnsi="Arial" w:cs="Arial"/>
                <w:i/>
                <w:sz w:val="18"/>
                <w:szCs w:val="18"/>
              </w:rPr>
              <w:t>Financeurs et montants</w:t>
            </w:r>
          </w:p>
        </w:tc>
        <w:tc>
          <w:tcPr>
            <w:tcW w:w="5184" w:type="dxa"/>
            <w:gridSpan w:val="2"/>
            <w:vAlign w:val="center"/>
          </w:tcPr>
          <w:p w14:paraId="6D0638FF" w14:textId="77777777" w:rsidR="00F71D52" w:rsidRDefault="00A129C7" w:rsidP="00F16670">
            <w:pPr>
              <w:rPr>
                <w:rFonts w:ascii="Arial" w:hAnsi="Arial" w:cs="Arial"/>
                <w:sz w:val="20"/>
                <w:szCs w:val="20"/>
              </w:rPr>
            </w:pPr>
            <w:r>
              <w:rPr>
                <w:rFonts w:ascii="Arial" w:hAnsi="Arial" w:cs="Arial"/>
                <w:sz w:val="20"/>
                <w:szCs w:val="20"/>
              </w:rPr>
              <w:t>CRSA – Appel à projets Démocratie en Santé</w:t>
            </w:r>
            <w:r w:rsidR="00760439">
              <w:rPr>
                <w:rFonts w:ascii="Arial" w:hAnsi="Arial" w:cs="Arial"/>
                <w:sz w:val="20"/>
                <w:szCs w:val="20"/>
              </w:rPr>
              <w:t xml:space="preserve"> et Territoires de Santé de Demain</w:t>
            </w:r>
          </w:p>
          <w:p w14:paraId="227F1407" w14:textId="19345EB5" w:rsidR="006D4294" w:rsidRPr="00354DE9" w:rsidRDefault="006D4294" w:rsidP="00F16670">
            <w:pPr>
              <w:rPr>
                <w:rFonts w:ascii="Arial" w:hAnsi="Arial" w:cs="Arial"/>
                <w:sz w:val="20"/>
                <w:szCs w:val="20"/>
              </w:rPr>
            </w:pPr>
            <w:r>
              <w:rPr>
                <w:rFonts w:ascii="Arial" w:hAnsi="Arial" w:cs="Arial"/>
                <w:sz w:val="20"/>
                <w:szCs w:val="20"/>
              </w:rPr>
              <w:t>Régime Local d’Assurance Maladie</w:t>
            </w:r>
          </w:p>
        </w:tc>
      </w:tr>
      <w:tr w:rsidR="00F71D52" w:rsidRPr="00354DE9" w14:paraId="6B1D2D2D" w14:textId="77777777" w:rsidTr="00C55AAD">
        <w:trPr>
          <w:trHeight w:val="500"/>
          <w:jc w:val="center"/>
        </w:trPr>
        <w:tc>
          <w:tcPr>
            <w:tcW w:w="2547" w:type="dxa"/>
            <w:vMerge/>
            <w:shd w:val="clear" w:color="auto" w:fill="FFFFFF" w:themeFill="background1"/>
            <w:vAlign w:val="center"/>
          </w:tcPr>
          <w:p w14:paraId="5191F1E3" w14:textId="77777777" w:rsidR="00F71D52" w:rsidRPr="00354DE9" w:rsidRDefault="00F71D52" w:rsidP="0057104E">
            <w:pPr>
              <w:rPr>
                <w:rFonts w:ascii="Arial" w:hAnsi="Arial" w:cs="Arial"/>
                <w:b/>
                <w:sz w:val="20"/>
                <w:szCs w:val="20"/>
              </w:rPr>
            </w:pPr>
          </w:p>
        </w:tc>
        <w:tc>
          <w:tcPr>
            <w:tcW w:w="1789" w:type="dxa"/>
            <w:gridSpan w:val="2"/>
            <w:shd w:val="clear" w:color="auto" w:fill="D9D9D9" w:themeFill="background1" w:themeFillShade="D9"/>
            <w:vAlign w:val="center"/>
          </w:tcPr>
          <w:p w14:paraId="66F9702C" w14:textId="77777777" w:rsidR="00F71D52" w:rsidRPr="00F71D52" w:rsidRDefault="00F71D52" w:rsidP="008D553F">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vAlign w:val="center"/>
          </w:tcPr>
          <w:p w14:paraId="0A5146FE" w14:textId="07D95D4B" w:rsidR="00F71D52" w:rsidRPr="00354DE9" w:rsidRDefault="00A129C7" w:rsidP="00F16670">
            <w:pPr>
              <w:rPr>
                <w:rFonts w:ascii="Arial" w:hAnsi="Arial" w:cs="Arial"/>
                <w:sz w:val="20"/>
                <w:szCs w:val="20"/>
              </w:rPr>
            </w:pPr>
            <w:r>
              <w:rPr>
                <w:rFonts w:ascii="Arial" w:hAnsi="Arial" w:cs="Arial"/>
                <w:sz w:val="20"/>
                <w:szCs w:val="20"/>
              </w:rPr>
              <w:t>Mise à disposition de locaux par les communes pour les réunions et les lieux d’intervention.</w:t>
            </w:r>
          </w:p>
        </w:tc>
      </w:tr>
      <w:tr w:rsidR="00143098" w:rsidRPr="00354DE9" w14:paraId="295F5CDE" w14:textId="77777777" w:rsidTr="00EE1636">
        <w:trPr>
          <w:trHeight w:val="554"/>
          <w:jc w:val="center"/>
        </w:trPr>
        <w:tc>
          <w:tcPr>
            <w:tcW w:w="2547" w:type="dxa"/>
            <w:vMerge w:val="restart"/>
            <w:shd w:val="clear" w:color="auto" w:fill="FFFFFF" w:themeFill="background1"/>
            <w:vAlign w:val="center"/>
          </w:tcPr>
          <w:p w14:paraId="595B0C4F" w14:textId="77777777"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14:paraId="14F4215F"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14:paraId="74B0F7D9"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Accessibilité (géographique, financière, socio-culturelle, …)</w:t>
            </w:r>
          </w:p>
          <w:p w14:paraId="442144D4"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14:paraId="4B5A62BD" w14:textId="77777777" w:rsidR="00143098" w:rsidRPr="00354DE9" w:rsidRDefault="00143098"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0"/>
                  </w:checkBox>
                </w:ffData>
              </w:fldChar>
            </w:r>
            <w:bookmarkStart w:id="2" w:name="CaseACocher61"/>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bookmarkEnd w:id="2"/>
            <w:r w:rsidRPr="00354DE9">
              <w:rPr>
                <w:rFonts w:ascii="Arial" w:eastAsia="Times New Roman" w:hAnsi="Arial" w:cs="Arial"/>
                <w:iCs/>
                <w:sz w:val="20"/>
                <w:szCs w:val="20"/>
                <w:lang w:eastAsia="fr-FR"/>
              </w:rPr>
              <w:t xml:space="preserve"> Continuité (informationnelle, relationnelle, clinique)</w:t>
            </w:r>
          </w:p>
          <w:p w14:paraId="658AD1D0" w14:textId="77777777" w:rsidR="00143098" w:rsidRPr="00354DE9" w:rsidRDefault="00143098" w:rsidP="00F16670">
            <w:pPr>
              <w:rPr>
                <w:rFonts w:ascii="Arial" w:eastAsia="Times New Roman" w:hAnsi="Arial" w:cs="Arial"/>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Pr="00354DE9">
              <w:rPr>
                <w:rFonts w:ascii="Arial" w:eastAsia="Times New Roman" w:hAnsi="Arial" w:cs="Arial"/>
                <w:iCs/>
                <w:sz w:val="20"/>
                <w:szCs w:val="20"/>
                <w:lang w:eastAsia="fr-FR"/>
              </w:rPr>
              <w:t>éactivité (respect des attentes des patients, satisfaction des patients)</w:t>
            </w:r>
          </w:p>
          <w:p w14:paraId="199FFAA5"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14:paraId="07D2F54C" w14:textId="77777777" w:rsidTr="00EE1636">
        <w:trPr>
          <w:trHeight w:val="554"/>
          <w:jc w:val="center"/>
        </w:trPr>
        <w:tc>
          <w:tcPr>
            <w:tcW w:w="2547" w:type="dxa"/>
            <w:vMerge/>
            <w:shd w:val="clear" w:color="auto" w:fill="FFFFFF" w:themeFill="background1"/>
            <w:vAlign w:val="center"/>
          </w:tcPr>
          <w:p w14:paraId="4A7A6AB8" w14:textId="77777777" w:rsidR="00143098" w:rsidRPr="00354DE9" w:rsidRDefault="00143098" w:rsidP="002E571E">
            <w:pPr>
              <w:rPr>
                <w:rFonts w:ascii="Arial" w:hAnsi="Arial" w:cs="Arial"/>
                <w:b/>
                <w:sz w:val="20"/>
                <w:szCs w:val="20"/>
              </w:rPr>
            </w:pPr>
          </w:p>
        </w:tc>
        <w:tc>
          <w:tcPr>
            <w:tcW w:w="6973" w:type="dxa"/>
            <w:gridSpan w:val="4"/>
            <w:vAlign w:val="center"/>
          </w:tcPr>
          <w:p w14:paraId="555CE5EA"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Mode de vie </w:t>
            </w:r>
          </w:p>
          <w:p w14:paraId="67ED3060" w14:textId="406A7DCF" w:rsidR="00143098" w:rsidRPr="00354DE9" w:rsidRDefault="006A512A"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Acquisition de comportements favorables à la santé </w:t>
            </w:r>
            <w:r w:rsidR="00143098" w:rsidRPr="00354DE9">
              <w:rPr>
                <w:rFonts w:ascii="Arial" w:eastAsia="Times New Roman" w:hAnsi="Arial" w:cs="Arial"/>
                <w:i/>
                <w:iCs/>
                <w:sz w:val="20"/>
                <w:szCs w:val="20"/>
                <w:lang w:eastAsia="fr-FR"/>
              </w:rPr>
              <w:t>(consommation d’alcool, de tabac, alimentation, activité physique, …)</w:t>
            </w:r>
          </w:p>
          <w:p w14:paraId="1165C212"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Utilisation des services de santé (recours aux soins et à la prévention)</w:t>
            </w:r>
          </w:p>
        </w:tc>
      </w:tr>
      <w:tr w:rsidR="00143098" w:rsidRPr="00354DE9" w14:paraId="62875480" w14:textId="77777777" w:rsidTr="00EE1636">
        <w:trPr>
          <w:trHeight w:val="554"/>
          <w:jc w:val="center"/>
        </w:trPr>
        <w:tc>
          <w:tcPr>
            <w:tcW w:w="2547" w:type="dxa"/>
            <w:vMerge/>
            <w:shd w:val="clear" w:color="auto" w:fill="FFFFFF" w:themeFill="background1"/>
            <w:vAlign w:val="center"/>
          </w:tcPr>
          <w:p w14:paraId="43192666" w14:textId="77777777" w:rsidR="00143098" w:rsidRPr="00354DE9" w:rsidRDefault="00143098" w:rsidP="002E571E">
            <w:pPr>
              <w:rPr>
                <w:rFonts w:ascii="Arial" w:hAnsi="Arial" w:cs="Arial"/>
                <w:b/>
                <w:sz w:val="20"/>
                <w:szCs w:val="20"/>
              </w:rPr>
            </w:pPr>
          </w:p>
        </w:tc>
        <w:tc>
          <w:tcPr>
            <w:tcW w:w="6973" w:type="dxa"/>
            <w:gridSpan w:val="4"/>
            <w:vAlign w:val="center"/>
          </w:tcPr>
          <w:p w14:paraId="36E2DCF7"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14:paraId="3843B544" w14:textId="327A0C04" w:rsidR="00143098" w:rsidRPr="00354DE9" w:rsidRDefault="006A512A"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14:paraId="188DBAC3" w14:textId="4E6F714A" w:rsidR="00143098" w:rsidRPr="00354DE9" w:rsidRDefault="006A512A" w:rsidP="00F16670">
            <w:pPr>
              <w:rPr>
                <w:rFonts w:ascii="Arial" w:eastAsia="Times New Roman" w:hAnsi="Arial" w:cs="Arial"/>
                <w:i/>
                <w:i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Environnement physique (</w:t>
            </w:r>
            <w:r w:rsidR="00143098" w:rsidRPr="00354DE9">
              <w:rPr>
                <w:rFonts w:ascii="Arial" w:eastAsia="Times New Roman" w:hAnsi="Arial" w:cs="Arial"/>
                <w:i/>
                <w:iCs/>
                <w:sz w:val="20"/>
                <w:szCs w:val="20"/>
                <w:lang w:eastAsia="fr-FR"/>
              </w:rPr>
              <w:t>air, sol, eau, aménagement du territoire …)</w:t>
            </w:r>
          </w:p>
          <w:p w14:paraId="10428224"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14:paraId="4D4B4C55" w14:textId="77777777" w:rsidTr="00EE1636">
        <w:trPr>
          <w:trHeight w:val="554"/>
          <w:jc w:val="center"/>
        </w:trPr>
        <w:tc>
          <w:tcPr>
            <w:tcW w:w="2547" w:type="dxa"/>
            <w:vMerge/>
            <w:shd w:val="clear" w:color="auto" w:fill="FFFFFF" w:themeFill="background1"/>
            <w:vAlign w:val="center"/>
          </w:tcPr>
          <w:p w14:paraId="7CC19FE4" w14:textId="77777777" w:rsidR="00143098" w:rsidRPr="00354DE9" w:rsidRDefault="00143098" w:rsidP="002E571E">
            <w:pPr>
              <w:rPr>
                <w:rFonts w:ascii="Arial" w:hAnsi="Arial" w:cs="Arial"/>
                <w:b/>
                <w:sz w:val="20"/>
                <w:szCs w:val="20"/>
              </w:rPr>
            </w:pPr>
          </w:p>
        </w:tc>
        <w:tc>
          <w:tcPr>
            <w:tcW w:w="6973" w:type="dxa"/>
            <w:gridSpan w:val="4"/>
            <w:vAlign w:val="center"/>
          </w:tcPr>
          <w:p w14:paraId="2B1FF586"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14:paraId="041AEDB9" w14:textId="16E8BD66" w:rsidR="00143098" w:rsidRPr="00354DE9" w:rsidRDefault="006A512A"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Intégration sociale</w:t>
            </w:r>
          </w:p>
          <w:p w14:paraId="181E9618" w14:textId="77777777"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Empowerment </w:t>
            </w:r>
            <w:r w:rsidRPr="00354DE9">
              <w:rPr>
                <w:rFonts w:ascii="Arial" w:eastAsia="Times New Roman" w:hAnsi="Arial" w:cs="Arial"/>
                <w:i/>
                <w:iCs/>
                <w:sz w:val="20"/>
                <w:szCs w:val="20"/>
                <w:lang w:eastAsia="fr-FR"/>
              </w:rPr>
              <w:t>(participation des habitants)</w:t>
            </w:r>
          </w:p>
          <w:p w14:paraId="6870DFEC"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14:paraId="5C581535" w14:textId="77777777" w:rsidTr="00EE1636">
        <w:trPr>
          <w:trHeight w:val="554"/>
          <w:jc w:val="center"/>
        </w:trPr>
        <w:tc>
          <w:tcPr>
            <w:tcW w:w="2547" w:type="dxa"/>
            <w:vMerge/>
            <w:shd w:val="clear" w:color="auto" w:fill="FFFFFF" w:themeFill="background1"/>
            <w:vAlign w:val="center"/>
          </w:tcPr>
          <w:p w14:paraId="5CBC2C6C" w14:textId="77777777" w:rsidR="00143098" w:rsidRPr="00354DE9" w:rsidRDefault="00143098" w:rsidP="002E571E">
            <w:pPr>
              <w:rPr>
                <w:rFonts w:ascii="Arial" w:hAnsi="Arial" w:cs="Arial"/>
                <w:b/>
                <w:sz w:val="20"/>
                <w:szCs w:val="20"/>
              </w:rPr>
            </w:pPr>
          </w:p>
        </w:tc>
        <w:tc>
          <w:tcPr>
            <w:tcW w:w="6973" w:type="dxa"/>
            <w:gridSpan w:val="4"/>
            <w:vAlign w:val="center"/>
          </w:tcPr>
          <w:p w14:paraId="3A011961"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14:paraId="57377887"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14:paraId="0617A82A" w14:textId="55947C72" w:rsidR="00143098" w:rsidRPr="00354DE9" w:rsidRDefault="006A512A"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14:paraId="549B13EC"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La santé dans les politiques </w:t>
            </w:r>
            <w:r w:rsidRPr="00354DE9">
              <w:rPr>
                <w:rFonts w:ascii="Arial" w:eastAsia="Times New Roman" w:hAnsi="Arial" w:cs="Arial"/>
                <w:i/>
                <w:iCs/>
                <w:sz w:val="20"/>
                <w:szCs w:val="20"/>
                <w:lang w:eastAsia="fr-FR"/>
              </w:rPr>
              <w:t>(prise en compte des déterminants de santé dans les politiques)</w:t>
            </w:r>
          </w:p>
        </w:tc>
      </w:tr>
      <w:tr w:rsidR="00143098" w:rsidRPr="00354DE9" w14:paraId="525F8BF0" w14:textId="77777777" w:rsidTr="00EE1636">
        <w:trPr>
          <w:trHeight w:val="554"/>
          <w:jc w:val="center"/>
        </w:trPr>
        <w:tc>
          <w:tcPr>
            <w:tcW w:w="2547" w:type="dxa"/>
            <w:vMerge/>
            <w:shd w:val="clear" w:color="auto" w:fill="FFFFFF" w:themeFill="background1"/>
            <w:vAlign w:val="center"/>
          </w:tcPr>
          <w:p w14:paraId="3A326F3E" w14:textId="77777777" w:rsidR="00143098" w:rsidRPr="00354DE9" w:rsidRDefault="00143098" w:rsidP="002E571E">
            <w:pPr>
              <w:rPr>
                <w:rFonts w:ascii="Arial" w:hAnsi="Arial" w:cs="Arial"/>
                <w:b/>
                <w:sz w:val="20"/>
                <w:szCs w:val="20"/>
              </w:rPr>
            </w:pPr>
          </w:p>
        </w:tc>
        <w:tc>
          <w:tcPr>
            <w:tcW w:w="6973" w:type="dxa"/>
            <w:gridSpan w:val="4"/>
            <w:vAlign w:val="center"/>
          </w:tcPr>
          <w:p w14:paraId="3BE260F6" w14:textId="77777777"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14:paraId="76AE831F"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14:paraId="1FE94096"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14:paraId="6A99728C" w14:textId="77777777" w:rsidTr="00C55AAD">
        <w:trPr>
          <w:trHeight w:val="423"/>
          <w:jc w:val="center"/>
        </w:trPr>
        <w:tc>
          <w:tcPr>
            <w:tcW w:w="2547" w:type="dxa"/>
            <w:vMerge/>
            <w:shd w:val="clear" w:color="auto" w:fill="FFFFFF" w:themeFill="background1"/>
            <w:vAlign w:val="center"/>
          </w:tcPr>
          <w:p w14:paraId="36886109" w14:textId="77777777" w:rsidR="00143098" w:rsidRPr="00354DE9" w:rsidRDefault="00143098" w:rsidP="002E571E">
            <w:pPr>
              <w:rPr>
                <w:rFonts w:ascii="Arial" w:hAnsi="Arial" w:cs="Arial"/>
                <w:b/>
                <w:sz w:val="20"/>
                <w:szCs w:val="20"/>
              </w:rPr>
            </w:pPr>
          </w:p>
        </w:tc>
        <w:tc>
          <w:tcPr>
            <w:tcW w:w="6973" w:type="dxa"/>
            <w:gridSpan w:val="4"/>
            <w:vAlign w:val="center"/>
          </w:tcPr>
          <w:p w14:paraId="28FF70DC" w14:textId="77777777"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14:paraId="52C2833F" w14:textId="77777777" w:rsidTr="00EE1636">
        <w:trPr>
          <w:trHeight w:val="554"/>
          <w:jc w:val="center"/>
        </w:trPr>
        <w:tc>
          <w:tcPr>
            <w:tcW w:w="2547" w:type="dxa"/>
            <w:shd w:val="clear" w:color="auto" w:fill="FFFFFF" w:themeFill="background1"/>
            <w:vAlign w:val="center"/>
          </w:tcPr>
          <w:p w14:paraId="1BCC61C4" w14:textId="77777777"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14:paraId="0ACF6E2E" w14:textId="35DF9E12" w:rsidR="001361D6" w:rsidRDefault="00703CD0" w:rsidP="00F16670">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1361D6">
              <w:rPr>
                <w:rFonts w:ascii="Arial" w:hAnsi="Arial" w:cs="Arial"/>
                <w:sz w:val="20"/>
                <w:szCs w:val="20"/>
              </w:rPr>
              <w:fldChar w:fldCharType="begin">
                <w:ffData>
                  <w:name w:val="CaseACocher62"/>
                  <w:enabled/>
                  <w:calcOnExit w:val="0"/>
                  <w:checkBox>
                    <w:sizeAuto/>
                    <w:default w:val="0"/>
                  </w:checkBox>
                </w:ffData>
              </w:fldChar>
            </w:r>
            <w:r w:rsidR="001361D6">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001361D6">
              <w:rPr>
                <w:rFonts w:ascii="Arial" w:hAnsi="Arial" w:cs="Arial"/>
                <w:sz w:val="20"/>
                <w:szCs w:val="20"/>
              </w:rPr>
              <w:fldChar w:fldCharType="end"/>
            </w:r>
            <w:r w:rsidR="001361D6">
              <w:rPr>
                <w:rFonts w:ascii="Arial" w:hAnsi="Arial" w:cs="Arial"/>
                <w:sz w:val="20"/>
                <w:szCs w:val="20"/>
              </w:rPr>
              <w:t xml:space="preserve"> Non </w:t>
            </w:r>
          </w:p>
        </w:tc>
      </w:tr>
      <w:tr w:rsidR="00F71D52" w:rsidRPr="00354DE9" w14:paraId="0319C4F0" w14:textId="77777777" w:rsidTr="00EE1636">
        <w:trPr>
          <w:trHeight w:val="554"/>
          <w:jc w:val="center"/>
        </w:trPr>
        <w:tc>
          <w:tcPr>
            <w:tcW w:w="2547" w:type="dxa"/>
            <w:shd w:val="clear" w:color="auto" w:fill="FFFFFF" w:themeFill="background1"/>
            <w:vAlign w:val="center"/>
          </w:tcPr>
          <w:p w14:paraId="0B31EBFF" w14:textId="77777777" w:rsidR="00F71D52" w:rsidRPr="00354DE9" w:rsidRDefault="00F71D52" w:rsidP="00155A3B">
            <w:pPr>
              <w:rPr>
                <w:rFonts w:ascii="Arial" w:hAnsi="Arial" w:cs="Arial"/>
                <w:b/>
                <w:sz w:val="20"/>
                <w:szCs w:val="20"/>
              </w:rPr>
            </w:pPr>
            <w:r w:rsidRPr="00354DE9">
              <w:rPr>
                <w:rFonts w:ascii="Arial" w:hAnsi="Arial" w:cs="Arial"/>
                <w:b/>
                <w:sz w:val="20"/>
                <w:szCs w:val="20"/>
              </w:rPr>
              <w:lastRenderedPageBreak/>
              <w:t>Politiques Publiques concernées</w:t>
            </w:r>
          </w:p>
        </w:tc>
        <w:tc>
          <w:tcPr>
            <w:tcW w:w="6973" w:type="dxa"/>
            <w:gridSpan w:val="4"/>
            <w:vAlign w:val="center"/>
          </w:tcPr>
          <w:p w14:paraId="15373C87" w14:textId="1BA46F7C" w:rsidR="00F71D52" w:rsidRPr="00354DE9" w:rsidRDefault="005408CA" w:rsidP="00F16670">
            <w:pPr>
              <w:spacing w:line="253" w:lineRule="atLeast"/>
              <w:rPr>
                <w:rFonts w:ascii="Arial" w:eastAsia="Times New Roman" w:hAnsi="Arial" w:cs="Arial"/>
                <w:bCs/>
                <w:i/>
                <w:sz w:val="20"/>
                <w:szCs w:val="20"/>
                <w:lang w:eastAsia="fr-FR"/>
              </w:rPr>
            </w:pPr>
            <w:r>
              <w:rPr>
                <w:rFonts w:ascii="Arial" w:eastAsia="Times New Roman" w:hAnsi="Arial" w:cs="Arial"/>
                <w:bCs/>
                <w:i/>
                <w:sz w:val="20"/>
                <w:szCs w:val="20"/>
                <w:lang w:eastAsia="fr-FR"/>
              </w:rPr>
              <w:t>Stratégie Nationale de Santé, Axe 4 : Démocratie en Santé et Programme régional de Santé</w:t>
            </w:r>
          </w:p>
        </w:tc>
      </w:tr>
      <w:tr w:rsidR="00562D16" w:rsidRPr="00354DE9" w14:paraId="41746B63" w14:textId="77777777" w:rsidTr="00EE1636">
        <w:trPr>
          <w:trHeight w:val="554"/>
          <w:jc w:val="center"/>
        </w:trPr>
        <w:tc>
          <w:tcPr>
            <w:tcW w:w="2547" w:type="dxa"/>
            <w:shd w:val="clear" w:color="auto" w:fill="FFFFFF" w:themeFill="background1"/>
            <w:vAlign w:val="center"/>
          </w:tcPr>
          <w:p w14:paraId="0EA4E004" w14:textId="77777777"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14:paraId="6632AF1A" w14:textId="447397BF" w:rsidR="00562D16" w:rsidRPr="00354DE9" w:rsidRDefault="00703CD0" w:rsidP="00F16670">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1361D6">
              <w:rPr>
                <w:rFonts w:ascii="Arial" w:hAnsi="Arial" w:cs="Arial"/>
                <w:sz w:val="20"/>
                <w:szCs w:val="20"/>
              </w:rPr>
              <w:fldChar w:fldCharType="begin">
                <w:ffData>
                  <w:name w:val="CaseACocher62"/>
                  <w:enabled/>
                  <w:calcOnExit w:val="0"/>
                  <w:checkBox>
                    <w:sizeAuto/>
                    <w:default w:val="0"/>
                  </w:checkBox>
                </w:ffData>
              </w:fldChar>
            </w:r>
            <w:r w:rsidR="001361D6">
              <w:rPr>
                <w:rFonts w:ascii="Arial" w:hAnsi="Arial" w:cs="Arial"/>
                <w:sz w:val="20"/>
                <w:szCs w:val="20"/>
              </w:rPr>
              <w:instrText xml:space="preserve"> FORMCHECKBOX </w:instrText>
            </w:r>
            <w:r w:rsidR="00204218">
              <w:rPr>
                <w:rFonts w:ascii="Arial" w:hAnsi="Arial" w:cs="Arial"/>
                <w:sz w:val="20"/>
                <w:szCs w:val="20"/>
              </w:rPr>
            </w:r>
            <w:r w:rsidR="00204218">
              <w:rPr>
                <w:rFonts w:ascii="Arial" w:hAnsi="Arial" w:cs="Arial"/>
                <w:sz w:val="20"/>
                <w:szCs w:val="20"/>
              </w:rPr>
              <w:fldChar w:fldCharType="separate"/>
            </w:r>
            <w:r w:rsidR="001361D6">
              <w:rPr>
                <w:rFonts w:ascii="Arial" w:hAnsi="Arial" w:cs="Arial"/>
                <w:sz w:val="20"/>
                <w:szCs w:val="20"/>
              </w:rPr>
              <w:fldChar w:fldCharType="end"/>
            </w:r>
            <w:r w:rsidR="001361D6">
              <w:rPr>
                <w:rFonts w:ascii="Arial" w:hAnsi="Arial" w:cs="Arial"/>
                <w:sz w:val="20"/>
                <w:szCs w:val="20"/>
              </w:rPr>
              <w:t xml:space="preserve"> Non (Précisez)</w:t>
            </w:r>
          </w:p>
        </w:tc>
      </w:tr>
      <w:tr w:rsidR="00F71D52" w:rsidRPr="00354DE9" w14:paraId="22496D96" w14:textId="77777777" w:rsidTr="00A866FF">
        <w:trPr>
          <w:trHeight w:val="5320"/>
          <w:jc w:val="center"/>
        </w:trPr>
        <w:tc>
          <w:tcPr>
            <w:tcW w:w="2547" w:type="dxa"/>
            <w:shd w:val="clear" w:color="auto" w:fill="FFFFFF" w:themeFill="background1"/>
            <w:vAlign w:val="center"/>
          </w:tcPr>
          <w:p w14:paraId="2A4880DE" w14:textId="77777777" w:rsidR="00F71D52" w:rsidRPr="00354DE9" w:rsidRDefault="00F71D52" w:rsidP="00155A3B">
            <w:pPr>
              <w:rPr>
                <w:rFonts w:ascii="Arial" w:hAnsi="Arial" w:cs="Arial"/>
                <w:b/>
                <w:sz w:val="20"/>
                <w:szCs w:val="20"/>
              </w:rPr>
            </w:pPr>
            <w:r w:rsidRPr="00354DE9">
              <w:rPr>
                <w:rFonts w:ascii="Arial" w:hAnsi="Arial" w:cs="Arial"/>
                <w:b/>
                <w:sz w:val="20"/>
                <w:szCs w:val="20"/>
              </w:rPr>
              <w:t xml:space="preserve">Principaux indicateurs d’évaluation retenus </w:t>
            </w:r>
          </w:p>
        </w:tc>
        <w:tc>
          <w:tcPr>
            <w:tcW w:w="6973" w:type="dxa"/>
            <w:gridSpan w:val="4"/>
            <w:vAlign w:val="center"/>
          </w:tcPr>
          <w:p w14:paraId="3A849E90" w14:textId="170FE5AD" w:rsidR="00F71D52" w:rsidRDefault="00F71D52" w:rsidP="00F16670">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14:paraId="219E4FA8" w14:textId="77777777" w:rsidR="00582C68" w:rsidRDefault="00582C68" w:rsidP="00582C68">
            <w:r>
              <w:t>Nombre de partenaire associés à l’organisation de l’action</w:t>
            </w:r>
          </w:p>
          <w:p w14:paraId="5162A09E" w14:textId="77777777" w:rsidR="00582C68" w:rsidRDefault="00582C68" w:rsidP="00582C68">
            <w:r>
              <w:t>Typologie des partenaires associés à l’organisation de l’action</w:t>
            </w:r>
          </w:p>
          <w:p w14:paraId="0CC3D2F5" w14:textId="484426A8" w:rsidR="00413208" w:rsidRDefault="00582C68" w:rsidP="00582C68">
            <w:r>
              <w:t>Nombre de réunion organisée pour mettre en place l’action</w:t>
            </w:r>
          </w:p>
          <w:p w14:paraId="02F9B1A1" w14:textId="1B7B1D50" w:rsidR="00A866FF" w:rsidRPr="00A866FF" w:rsidRDefault="00A866FF" w:rsidP="00A866FF">
            <w:pPr>
              <w:spacing w:line="253" w:lineRule="atLeast"/>
              <w:rPr>
                <w:rFonts w:ascii="Arial" w:eastAsia="Times New Roman" w:hAnsi="Arial" w:cs="Arial"/>
                <w:bCs/>
                <w:i/>
                <w:sz w:val="20"/>
                <w:szCs w:val="20"/>
                <w:u w:val="single"/>
                <w:lang w:eastAsia="fr-FR"/>
              </w:rPr>
            </w:pPr>
            <w:r w:rsidRPr="00A866FF">
              <w:rPr>
                <w:rFonts w:ascii="Arial" w:eastAsia="Times New Roman" w:hAnsi="Arial" w:cs="Arial"/>
                <w:bCs/>
                <w:i/>
                <w:sz w:val="20"/>
                <w:szCs w:val="20"/>
                <w:u w:val="single"/>
                <w:lang w:eastAsia="fr-FR"/>
              </w:rPr>
              <w:t xml:space="preserve">Réalisation de l’appel à candidature </w:t>
            </w:r>
          </w:p>
          <w:p w14:paraId="798BCB0D" w14:textId="77777777" w:rsidR="00A866FF" w:rsidRPr="00582C68" w:rsidRDefault="00A866FF" w:rsidP="00582C68"/>
          <w:p w14:paraId="4F80AFE9" w14:textId="6A66C10A"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14:paraId="024CD4DE" w14:textId="1EBD0467" w:rsidR="00582C68" w:rsidRDefault="00582C68" w:rsidP="00582C68">
            <w:r>
              <w:t>Nombre de participants au COPIL</w:t>
            </w:r>
          </w:p>
          <w:p w14:paraId="588EEAD1" w14:textId="545E9F70" w:rsidR="00582C68" w:rsidRDefault="00582C68" w:rsidP="00582C68">
            <w:r>
              <w:t xml:space="preserve">Typologie de participants </w:t>
            </w:r>
          </w:p>
          <w:p w14:paraId="7DD3272C" w14:textId="77777777" w:rsidR="00582C68" w:rsidRDefault="00582C68" w:rsidP="00582C68">
            <w:r>
              <w:t>Niveau de satisfaction</w:t>
            </w:r>
          </w:p>
          <w:p w14:paraId="2426AAC1" w14:textId="77777777" w:rsidR="00A866FF" w:rsidRDefault="00A866FF" w:rsidP="00582C68">
            <w:r>
              <w:t xml:space="preserve">Réalisation du programme d’action </w:t>
            </w:r>
          </w:p>
          <w:p w14:paraId="5AA096CA" w14:textId="1181304D" w:rsidR="00582C68" w:rsidRDefault="00582C68" w:rsidP="00582C68">
            <w:r>
              <w:t>Budget utilisé rapport au prévisionnel</w:t>
            </w:r>
          </w:p>
          <w:p w14:paraId="5DC59C9F" w14:textId="77777777" w:rsidR="00582C68" w:rsidRDefault="00582C68" w:rsidP="00582C68">
            <w:r>
              <w:t>Types de supports de communication créés ou utilisés</w:t>
            </w:r>
          </w:p>
          <w:p w14:paraId="78A17BAD" w14:textId="28E4449F" w:rsidR="00A866FF" w:rsidRPr="00A866FF" w:rsidRDefault="00A866FF" w:rsidP="00F16670">
            <w:pPr>
              <w:spacing w:line="253" w:lineRule="atLeast"/>
              <w:rPr>
                <w:rFonts w:ascii="Arial" w:eastAsia="Times New Roman" w:hAnsi="Arial" w:cs="Arial"/>
                <w:bCs/>
                <w:sz w:val="20"/>
                <w:szCs w:val="20"/>
                <w:lang w:eastAsia="fr-FR"/>
              </w:rPr>
            </w:pPr>
            <w:r w:rsidRPr="00A866FF">
              <w:rPr>
                <w:rFonts w:ascii="Arial" w:eastAsia="Times New Roman" w:hAnsi="Arial" w:cs="Arial"/>
                <w:bCs/>
                <w:sz w:val="20"/>
                <w:szCs w:val="20"/>
                <w:lang w:eastAsia="fr-FR"/>
              </w:rPr>
              <w:t>Nombre de réponse à l’appel à candidature</w:t>
            </w:r>
          </w:p>
          <w:p w14:paraId="3CBE8198" w14:textId="77777777" w:rsidR="00A866FF" w:rsidRDefault="00A866FF" w:rsidP="00F16670">
            <w:pPr>
              <w:spacing w:line="253" w:lineRule="atLeast"/>
              <w:rPr>
                <w:rFonts w:ascii="Arial" w:eastAsia="Times New Roman" w:hAnsi="Arial" w:cs="Arial"/>
                <w:b/>
                <w:bCs/>
                <w:i/>
                <w:sz w:val="20"/>
                <w:szCs w:val="20"/>
                <w:lang w:eastAsia="fr-FR"/>
              </w:rPr>
            </w:pPr>
          </w:p>
          <w:p w14:paraId="0F1ED51F" w14:textId="47A7752E" w:rsidR="006C222A" w:rsidRPr="00A866FF" w:rsidRDefault="00200CC5" w:rsidP="00F16670">
            <w:pPr>
              <w:spacing w:line="253" w:lineRule="atLeast"/>
              <w:rPr>
                <w:rFonts w:ascii="Arial" w:eastAsia="Times New Roman" w:hAnsi="Arial" w:cs="Arial"/>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A866FF">
              <w:rPr>
                <w:rFonts w:ascii="Arial" w:eastAsia="Times New Roman" w:hAnsi="Arial" w:cs="Arial"/>
                <w:b/>
                <w:bCs/>
                <w:i/>
                <w:sz w:val="20"/>
                <w:szCs w:val="20"/>
                <w:lang w:eastAsia="fr-FR"/>
              </w:rPr>
              <w:t xml:space="preserve"> </w:t>
            </w:r>
            <w:r w:rsidR="00A866FF" w:rsidRPr="00A866FF">
              <w:rPr>
                <w:rFonts w:ascii="Arial" w:eastAsia="Times New Roman" w:hAnsi="Arial" w:cs="Arial"/>
                <w:bCs/>
                <w:i/>
                <w:sz w:val="20"/>
                <w:szCs w:val="20"/>
                <w:lang w:eastAsia="fr-FR"/>
              </w:rPr>
              <w:t>Implication des ha</w:t>
            </w:r>
            <w:r w:rsidR="00A866FF">
              <w:rPr>
                <w:rFonts w:ascii="Arial" w:eastAsia="Times New Roman" w:hAnsi="Arial" w:cs="Arial"/>
                <w:bCs/>
                <w:i/>
                <w:sz w:val="20"/>
                <w:szCs w:val="20"/>
                <w:lang w:eastAsia="fr-FR"/>
              </w:rPr>
              <w:t>b</w:t>
            </w:r>
            <w:r w:rsidR="00A866FF" w:rsidRPr="00A866FF">
              <w:rPr>
                <w:rFonts w:ascii="Arial" w:eastAsia="Times New Roman" w:hAnsi="Arial" w:cs="Arial"/>
                <w:bCs/>
                <w:i/>
                <w:sz w:val="20"/>
                <w:szCs w:val="20"/>
                <w:lang w:eastAsia="fr-FR"/>
              </w:rPr>
              <w:t>itants dans le CLS et dans leur santé</w:t>
            </w:r>
          </w:p>
          <w:p w14:paraId="2CE2BDA3" w14:textId="77777777" w:rsidR="00562D16" w:rsidRDefault="00562D16" w:rsidP="00F16670">
            <w:pPr>
              <w:spacing w:line="253" w:lineRule="atLeast"/>
              <w:rPr>
                <w:rFonts w:ascii="Arial" w:eastAsia="Times New Roman" w:hAnsi="Arial" w:cs="Arial"/>
                <w:bCs/>
                <w:i/>
                <w:sz w:val="20"/>
                <w:szCs w:val="20"/>
                <w:lang w:eastAsia="fr-FR"/>
              </w:rPr>
            </w:pPr>
          </w:p>
          <w:p w14:paraId="1191D29C" w14:textId="409F052D" w:rsidR="00562D16" w:rsidRP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r w:rsidR="00A866FF">
              <w:rPr>
                <w:rFonts w:ascii="Arial" w:eastAsia="Times New Roman" w:hAnsi="Arial" w:cs="Arial"/>
                <w:b/>
                <w:bCs/>
                <w:i/>
                <w:sz w:val="20"/>
                <w:szCs w:val="20"/>
                <w:lang w:eastAsia="fr-FR"/>
              </w:rPr>
              <w:t xml:space="preserve"> </w:t>
            </w:r>
            <w:r w:rsidR="00A866FF" w:rsidRPr="00A866FF">
              <w:rPr>
                <w:rFonts w:ascii="Arial" w:eastAsia="Times New Roman" w:hAnsi="Arial" w:cs="Arial"/>
                <w:bCs/>
                <w:sz w:val="20"/>
                <w:szCs w:val="20"/>
                <w:lang w:eastAsia="fr-FR"/>
              </w:rPr>
              <w:t>Calendrier, fiche de présence, dossier soumis, questionnaire de satisfaction</w:t>
            </w:r>
          </w:p>
        </w:tc>
      </w:tr>
    </w:tbl>
    <w:p w14:paraId="50D046CD" w14:textId="642C2385" w:rsidR="00524714" w:rsidRPr="003165C4" w:rsidRDefault="00524714" w:rsidP="003165C4">
      <w:pPr>
        <w:spacing w:after="0" w:line="260" w:lineRule="atLeast"/>
        <w:rPr>
          <w:i/>
          <w:sz w:val="24"/>
        </w:rPr>
      </w:pPr>
    </w:p>
    <w:sectPr w:rsidR="00524714" w:rsidRPr="003165C4" w:rsidSect="003211AB">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9849" w14:textId="77777777" w:rsidR="000205A6" w:rsidRDefault="000205A6" w:rsidP="000F65D0">
      <w:pPr>
        <w:spacing w:after="0" w:line="240" w:lineRule="auto"/>
      </w:pPr>
      <w:r>
        <w:separator/>
      </w:r>
    </w:p>
  </w:endnote>
  <w:endnote w:type="continuationSeparator" w:id="0">
    <w:p w14:paraId="59123C4A" w14:textId="77777777" w:rsidR="000205A6" w:rsidRDefault="000205A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FE13" w14:textId="77777777" w:rsidR="000F65D0" w:rsidRPr="00697F84" w:rsidRDefault="000F65D0"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3F547" w14:textId="77777777" w:rsidR="000205A6" w:rsidRDefault="000205A6" w:rsidP="000F65D0">
      <w:pPr>
        <w:spacing w:after="0" w:line="240" w:lineRule="auto"/>
      </w:pPr>
      <w:r>
        <w:separator/>
      </w:r>
    </w:p>
  </w:footnote>
  <w:footnote w:type="continuationSeparator" w:id="0">
    <w:p w14:paraId="56151375" w14:textId="77777777" w:rsidR="000205A6" w:rsidRDefault="000205A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58C0"/>
    <w:multiLevelType w:val="hybridMultilevel"/>
    <w:tmpl w:val="73E6C2CA"/>
    <w:lvl w:ilvl="0" w:tplc="0A0490E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83182D"/>
    <w:multiLevelType w:val="hybridMultilevel"/>
    <w:tmpl w:val="23827C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5E05A6"/>
    <w:multiLevelType w:val="hybridMultilevel"/>
    <w:tmpl w:val="F7B6CD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AA1087"/>
    <w:multiLevelType w:val="hybridMultilevel"/>
    <w:tmpl w:val="F7B6CD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2A3657"/>
    <w:multiLevelType w:val="hybridMultilevel"/>
    <w:tmpl w:val="52F4ACBE"/>
    <w:lvl w:ilvl="0" w:tplc="F6B898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867F83"/>
    <w:multiLevelType w:val="hybridMultilevel"/>
    <w:tmpl w:val="F7B6CD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205A6"/>
    <w:rsid w:val="000369F8"/>
    <w:rsid w:val="000420BA"/>
    <w:rsid w:val="000467C4"/>
    <w:rsid w:val="00070DE9"/>
    <w:rsid w:val="00081313"/>
    <w:rsid w:val="0009071D"/>
    <w:rsid w:val="00092B06"/>
    <w:rsid w:val="00095BF8"/>
    <w:rsid w:val="000B410A"/>
    <w:rsid w:val="000D20D5"/>
    <w:rsid w:val="000F65D0"/>
    <w:rsid w:val="001361D6"/>
    <w:rsid w:val="00143098"/>
    <w:rsid w:val="001514A1"/>
    <w:rsid w:val="00155A3B"/>
    <w:rsid w:val="001A363E"/>
    <w:rsid w:val="001B3942"/>
    <w:rsid w:val="001B66A4"/>
    <w:rsid w:val="001D2B35"/>
    <w:rsid w:val="001E4A0D"/>
    <w:rsid w:val="001F3366"/>
    <w:rsid w:val="00200CC5"/>
    <w:rsid w:val="00204218"/>
    <w:rsid w:val="00220C2D"/>
    <w:rsid w:val="0023099A"/>
    <w:rsid w:val="00232D46"/>
    <w:rsid w:val="00233F9D"/>
    <w:rsid w:val="002369FA"/>
    <w:rsid w:val="00283654"/>
    <w:rsid w:val="00296543"/>
    <w:rsid w:val="002A03EA"/>
    <w:rsid w:val="002A685A"/>
    <w:rsid w:val="002B2249"/>
    <w:rsid w:val="002B4AA8"/>
    <w:rsid w:val="002C3F5E"/>
    <w:rsid w:val="002C5D0C"/>
    <w:rsid w:val="002E030B"/>
    <w:rsid w:val="002E571E"/>
    <w:rsid w:val="002F799F"/>
    <w:rsid w:val="003165C4"/>
    <w:rsid w:val="00317EE6"/>
    <w:rsid w:val="003211AB"/>
    <w:rsid w:val="003540F9"/>
    <w:rsid w:val="00354DE9"/>
    <w:rsid w:val="00373DF8"/>
    <w:rsid w:val="003B50D4"/>
    <w:rsid w:val="003C5A06"/>
    <w:rsid w:val="003C7858"/>
    <w:rsid w:val="003D47C1"/>
    <w:rsid w:val="003E06AB"/>
    <w:rsid w:val="003E6827"/>
    <w:rsid w:val="003F4186"/>
    <w:rsid w:val="00406721"/>
    <w:rsid w:val="00413208"/>
    <w:rsid w:val="004205F4"/>
    <w:rsid w:val="004438EA"/>
    <w:rsid w:val="00446EFD"/>
    <w:rsid w:val="00451E16"/>
    <w:rsid w:val="004538FE"/>
    <w:rsid w:val="00454C16"/>
    <w:rsid w:val="0046751A"/>
    <w:rsid w:val="00470F3C"/>
    <w:rsid w:val="00485C93"/>
    <w:rsid w:val="00486704"/>
    <w:rsid w:val="004A4530"/>
    <w:rsid w:val="004C253C"/>
    <w:rsid w:val="004D2233"/>
    <w:rsid w:val="004E3FC8"/>
    <w:rsid w:val="004E717D"/>
    <w:rsid w:val="004F48D7"/>
    <w:rsid w:val="004F55DD"/>
    <w:rsid w:val="00514B68"/>
    <w:rsid w:val="00524714"/>
    <w:rsid w:val="005259C1"/>
    <w:rsid w:val="005279BE"/>
    <w:rsid w:val="0053387F"/>
    <w:rsid w:val="00533F6B"/>
    <w:rsid w:val="005408CA"/>
    <w:rsid w:val="005424C3"/>
    <w:rsid w:val="00562D16"/>
    <w:rsid w:val="00565122"/>
    <w:rsid w:val="0057104E"/>
    <w:rsid w:val="00582C68"/>
    <w:rsid w:val="0058636E"/>
    <w:rsid w:val="00597CC8"/>
    <w:rsid w:val="005A1BEA"/>
    <w:rsid w:val="005B3191"/>
    <w:rsid w:val="005C4530"/>
    <w:rsid w:val="005C6B90"/>
    <w:rsid w:val="005D223B"/>
    <w:rsid w:val="00601DD8"/>
    <w:rsid w:val="00603E4F"/>
    <w:rsid w:val="006075C2"/>
    <w:rsid w:val="00642029"/>
    <w:rsid w:val="00645F05"/>
    <w:rsid w:val="00667A06"/>
    <w:rsid w:val="00683C9E"/>
    <w:rsid w:val="00697F84"/>
    <w:rsid w:val="006A512A"/>
    <w:rsid w:val="006C222A"/>
    <w:rsid w:val="006C3C40"/>
    <w:rsid w:val="006D4294"/>
    <w:rsid w:val="006E7AC4"/>
    <w:rsid w:val="006E7EA4"/>
    <w:rsid w:val="007006B6"/>
    <w:rsid w:val="0070294D"/>
    <w:rsid w:val="00703CD0"/>
    <w:rsid w:val="00723B4D"/>
    <w:rsid w:val="0072428A"/>
    <w:rsid w:val="0073496E"/>
    <w:rsid w:val="00735555"/>
    <w:rsid w:val="00743CCC"/>
    <w:rsid w:val="00760439"/>
    <w:rsid w:val="00765FA6"/>
    <w:rsid w:val="007755C9"/>
    <w:rsid w:val="00793E99"/>
    <w:rsid w:val="007B1F3C"/>
    <w:rsid w:val="007C733F"/>
    <w:rsid w:val="007D344D"/>
    <w:rsid w:val="007D7B8D"/>
    <w:rsid w:val="007F5EE5"/>
    <w:rsid w:val="008124C7"/>
    <w:rsid w:val="00821151"/>
    <w:rsid w:val="0083674A"/>
    <w:rsid w:val="0084326F"/>
    <w:rsid w:val="00853973"/>
    <w:rsid w:val="00867184"/>
    <w:rsid w:val="00880675"/>
    <w:rsid w:val="008955BD"/>
    <w:rsid w:val="008A66B2"/>
    <w:rsid w:val="008C1994"/>
    <w:rsid w:val="008C249E"/>
    <w:rsid w:val="008D747C"/>
    <w:rsid w:val="008E2932"/>
    <w:rsid w:val="008E35E9"/>
    <w:rsid w:val="0090054A"/>
    <w:rsid w:val="0090317F"/>
    <w:rsid w:val="00914A84"/>
    <w:rsid w:val="009176CA"/>
    <w:rsid w:val="00931A42"/>
    <w:rsid w:val="009507D8"/>
    <w:rsid w:val="00993EAA"/>
    <w:rsid w:val="009A4E96"/>
    <w:rsid w:val="009B2256"/>
    <w:rsid w:val="009D2C12"/>
    <w:rsid w:val="009E216D"/>
    <w:rsid w:val="009E3C5B"/>
    <w:rsid w:val="009E5171"/>
    <w:rsid w:val="00A05F6F"/>
    <w:rsid w:val="00A06420"/>
    <w:rsid w:val="00A064B3"/>
    <w:rsid w:val="00A12491"/>
    <w:rsid w:val="00A129C7"/>
    <w:rsid w:val="00A26463"/>
    <w:rsid w:val="00A4750B"/>
    <w:rsid w:val="00A50A11"/>
    <w:rsid w:val="00A52410"/>
    <w:rsid w:val="00A65EA5"/>
    <w:rsid w:val="00A853BA"/>
    <w:rsid w:val="00A85539"/>
    <w:rsid w:val="00A866FF"/>
    <w:rsid w:val="00A91263"/>
    <w:rsid w:val="00A95222"/>
    <w:rsid w:val="00AA250D"/>
    <w:rsid w:val="00AB46F7"/>
    <w:rsid w:val="00AB538F"/>
    <w:rsid w:val="00AC64C8"/>
    <w:rsid w:val="00B12563"/>
    <w:rsid w:val="00B3589D"/>
    <w:rsid w:val="00B6113B"/>
    <w:rsid w:val="00B63045"/>
    <w:rsid w:val="00B77E55"/>
    <w:rsid w:val="00BA28B9"/>
    <w:rsid w:val="00BA5201"/>
    <w:rsid w:val="00BA67BA"/>
    <w:rsid w:val="00BB46BC"/>
    <w:rsid w:val="00BB6F9E"/>
    <w:rsid w:val="00BC1EC3"/>
    <w:rsid w:val="00BD6522"/>
    <w:rsid w:val="00C064B1"/>
    <w:rsid w:val="00C07A30"/>
    <w:rsid w:val="00C20F50"/>
    <w:rsid w:val="00C24B6E"/>
    <w:rsid w:val="00C55AAD"/>
    <w:rsid w:val="00C64A31"/>
    <w:rsid w:val="00C861E6"/>
    <w:rsid w:val="00CA5EAF"/>
    <w:rsid w:val="00CB1869"/>
    <w:rsid w:val="00CB2089"/>
    <w:rsid w:val="00CB54D6"/>
    <w:rsid w:val="00CE2A16"/>
    <w:rsid w:val="00D207A0"/>
    <w:rsid w:val="00D26527"/>
    <w:rsid w:val="00D515D0"/>
    <w:rsid w:val="00D6315F"/>
    <w:rsid w:val="00D857D5"/>
    <w:rsid w:val="00D918EE"/>
    <w:rsid w:val="00DC5BF0"/>
    <w:rsid w:val="00E22823"/>
    <w:rsid w:val="00E42C22"/>
    <w:rsid w:val="00E71DC1"/>
    <w:rsid w:val="00E92D2D"/>
    <w:rsid w:val="00EA21A9"/>
    <w:rsid w:val="00EA5AF6"/>
    <w:rsid w:val="00EB1BBA"/>
    <w:rsid w:val="00EC5B70"/>
    <w:rsid w:val="00ED0575"/>
    <w:rsid w:val="00EE1636"/>
    <w:rsid w:val="00EF4997"/>
    <w:rsid w:val="00F04A80"/>
    <w:rsid w:val="00F13FAB"/>
    <w:rsid w:val="00F16670"/>
    <w:rsid w:val="00F4306F"/>
    <w:rsid w:val="00F47D59"/>
    <w:rsid w:val="00F47D9B"/>
    <w:rsid w:val="00F56621"/>
    <w:rsid w:val="00F71D52"/>
    <w:rsid w:val="00F91A39"/>
    <w:rsid w:val="00F940FE"/>
    <w:rsid w:val="00FA242B"/>
    <w:rsid w:val="00FB0EB1"/>
    <w:rsid w:val="00FC2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9DB3"/>
  <w15:docId w15:val="{C644A379-716D-417F-B6A1-B8935779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9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character" w:styleId="Marquedecommentaire">
    <w:name w:val="annotation reference"/>
    <w:basedOn w:val="Policepardfaut"/>
    <w:uiPriority w:val="99"/>
    <w:semiHidden/>
    <w:unhideWhenUsed/>
    <w:rsid w:val="00F13FAB"/>
    <w:rPr>
      <w:sz w:val="16"/>
      <w:szCs w:val="16"/>
    </w:rPr>
  </w:style>
  <w:style w:type="paragraph" w:styleId="Commentaire">
    <w:name w:val="annotation text"/>
    <w:basedOn w:val="Normal"/>
    <w:link w:val="CommentaireCar"/>
    <w:uiPriority w:val="99"/>
    <w:semiHidden/>
    <w:unhideWhenUsed/>
    <w:rsid w:val="00F13FAB"/>
    <w:pPr>
      <w:spacing w:line="240" w:lineRule="auto"/>
    </w:pPr>
    <w:rPr>
      <w:sz w:val="20"/>
      <w:szCs w:val="20"/>
    </w:rPr>
  </w:style>
  <w:style w:type="character" w:customStyle="1" w:styleId="CommentaireCar">
    <w:name w:val="Commentaire Car"/>
    <w:basedOn w:val="Policepardfaut"/>
    <w:link w:val="Commentaire"/>
    <w:uiPriority w:val="99"/>
    <w:semiHidden/>
    <w:rsid w:val="00F13FAB"/>
    <w:rPr>
      <w:sz w:val="20"/>
      <w:szCs w:val="20"/>
    </w:rPr>
  </w:style>
  <w:style w:type="paragraph" w:styleId="Objetducommentaire">
    <w:name w:val="annotation subject"/>
    <w:basedOn w:val="Commentaire"/>
    <w:next w:val="Commentaire"/>
    <w:link w:val="ObjetducommentaireCar"/>
    <w:uiPriority w:val="99"/>
    <w:semiHidden/>
    <w:unhideWhenUsed/>
    <w:rsid w:val="00F13FAB"/>
    <w:rPr>
      <w:b/>
      <w:bCs/>
    </w:rPr>
  </w:style>
  <w:style w:type="character" w:customStyle="1" w:styleId="ObjetducommentaireCar">
    <w:name w:val="Objet du commentaire Car"/>
    <w:basedOn w:val="CommentaireCar"/>
    <w:link w:val="Objetducommentaire"/>
    <w:uiPriority w:val="99"/>
    <w:semiHidden/>
    <w:rsid w:val="00F13FAB"/>
    <w:rPr>
      <w:b/>
      <w:bCs/>
      <w:sz w:val="20"/>
      <w:szCs w:val="20"/>
    </w:rPr>
  </w:style>
  <w:style w:type="paragraph" w:styleId="NormalWeb">
    <w:name w:val="Normal (Web)"/>
    <w:basedOn w:val="Normal"/>
    <w:uiPriority w:val="99"/>
    <w:semiHidden/>
    <w:unhideWhenUsed/>
    <w:rsid w:val="00F13F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21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129827028">
      <w:bodyDiv w:val="1"/>
      <w:marLeft w:val="0"/>
      <w:marRight w:val="0"/>
      <w:marTop w:val="0"/>
      <w:marBottom w:val="0"/>
      <w:divBdr>
        <w:top w:val="none" w:sz="0" w:space="0" w:color="auto"/>
        <w:left w:val="none" w:sz="0" w:space="0" w:color="auto"/>
        <w:bottom w:val="none" w:sz="0" w:space="0" w:color="auto"/>
        <w:right w:val="none" w:sz="0" w:space="0" w:color="auto"/>
      </w:divBdr>
    </w:div>
    <w:div w:id="175576880">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724599660">
      <w:bodyDiv w:val="1"/>
      <w:marLeft w:val="0"/>
      <w:marRight w:val="0"/>
      <w:marTop w:val="0"/>
      <w:marBottom w:val="0"/>
      <w:divBdr>
        <w:top w:val="none" w:sz="0" w:space="0" w:color="auto"/>
        <w:left w:val="none" w:sz="0" w:space="0" w:color="auto"/>
        <w:bottom w:val="none" w:sz="0" w:space="0" w:color="auto"/>
        <w:right w:val="none" w:sz="0" w:space="0" w:color="auto"/>
      </w:divBdr>
    </w:div>
    <w:div w:id="17998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
      <w:docPartPr>
        <w:name w:val="80ACF9006A2C4E7DAB5ACAEC71027487"/>
        <w:category>
          <w:name w:val="Général"/>
          <w:gallery w:val="placeholder"/>
        </w:category>
        <w:types>
          <w:type w:val="bbPlcHdr"/>
        </w:types>
        <w:behaviors>
          <w:behavior w:val="content"/>
        </w:behaviors>
        <w:guid w:val="{891C773F-D423-4341-85EF-9658424BE904}"/>
      </w:docPartPr>
      <w:docPartBody>
        <w:p w:rsidR="00600894" w:rsidRDefault="00461B3A" w:rsidP="00461B3A">
          <w:pPr>
            <w:pStyle w:val="80ACF9006A2C4E7DAB5ACAEC71027487"/>
          </w:pPr>
          <w:r w:rsidRPr="00B83B06">
            <w:rPr>
              <w:rStyle w:val="Textedelespacerserv"/>
            </w:rPr>
            <w:t>Choisissez un élément.</w:t>
          </w:r>
        </w:p>
      </w:docPartBody>
    </w:docPart>
    <w:docPart>
      <w:docPartPr>
        <w:name w:val="98189D642BE94A56A1B5D27F40558277"/>
        <w:category>
          <w:name w:val="Général"/>
          <w:gallery w:val="placeholder"/>
        </w:category>
        <w:types>
          <w:type w:val="bbPlcHdr"/>
        </w:types>
        <w:behaviors>
          <w:behavior w:val="content"/>
        </w:behaviors>
        <w:guid w:val="{C8B8FC9F-EBF0-4B19-A63E-4C05821555AA}"/>
      </w:docPartPr>
      <w:docPartBody>
        <w:p w:rsidR="00600894" w:rsidRDefault="00461B3A" w:rsidP="00461B3A">
          <w:pPr>
            <w:pStyle w:val="98189D642BE94A56A1B5D27F40558277"/>
          </w:pPr>
          <w:r w:rsidRPr="00B83B06">
            <w:rPr>
              <w:rStyle w:val="Textedelespacerserv"/>
            </w:rPr>
            <w:t>Choisissez un élément.</w:t>
          </w:r>
        </w:p>
      </w:docPartBody>
    </w:docPart>
    <w:docPart>
      <w:docPartPr>
        <w:name w:val="86A6216FE90244D8AD8EF54FC6093150"/>
        <w:category>
          <w:name w:val="Général"/>
          <w:gallery w:val="placeholder"/>
        </w:category>
        <w:types>
          <w:type w:val="bbPlcHdr"/>
        </w:types>
        <w:behaviors>
          <w:behavior w:val="content"/>
        </w:behaviors>
        <w:guid w:val="{AE353825-BD89-491E-8CEA-4216F68E7BB3}"/>
      </w:docPartPr>
      <w:docPartBody>
        <w:p w:rsidR="00600894" w:rsidRDefault="00461B3A" w:rsidP="00461B3A">
          <w:pPr>
            <w:pStyle w:val="86A6216FE90244D8AD8EF54FC6093150"/>
          </w:pPr>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461B3A"/>
    <w:rsid w:val="00600894"/>
    <w:rsid w:val="008624D3"/>
    <w:rsid w:val="00880E1B"/>
    <w:rsid w:val="008C249E"/>
    <w:rsid w:val="009C3FFC"/>
    <w:rsid w:val="009D2B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 w:type="paragraph" w:customStyle="1" w:styleId="80ACF9006A2C4E7DAB5ACAEC71027487">
    <w:name w:val="80ACF9006A2C4E7DAB5ACAEC71027487"/>
    <w:rsid w:val="00461B3A"/>
  </w:style>
  <w:style w:type="paragraph" w:customStyle="1" w:styleId="98189D642BE94A56A1B5D27F40558277">
    <w:name w:val="98189D642BE94A56A1B5D27F40558277"/>
    <w:rsid w:val="00461B3A"/>
  </w:style>
  <w:style w:type="paragraph" w:customStyle="1" w:styleId="86A6216FE90244D8AD8EF54FC6093150">
    <w:name w:val="86A6216FE90244D8AD8EF54FC6093150"/>
    <w:rsid w:val="00461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73E4E11BB0043A1494A2F5BB25321" ma:contentTypeVersion="2" ma:contentTypeDescription="Crée un document." ma:contentTypeScope="" ma:versionID="22d300f076581bef866154698e1c98e7">
  <xsd:schema xmlns:xsd="http://www.w3.org/2001/XMLSchema" xmlns:xs="http://www.w3.org/2001/XMLSchema" xmlns:p="http://schemas.microsoft.com/office/2006/metadata/properties" xmlns:ns2="844280e6-a1c2-495a-afcc-14b6133a97e5" targetNamespace="http://schemas.microsoft.com/office/2006/metadata/properties" ma:root="true" ma:fieldsID="3a7537e9abf1c3db15683356d864a080" ns2:_="">
    <xsd:import namespace="844280e6-a1c2-495a-afcc-14b6133a97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280e6-a1c2-495a-afcc-14b6133a9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AA14-0DFB-4C74-9FCE-5980E06CDA4C}">
  <ds:schemaRefs>
    <ds:schemaRef ds:uri="844280e6-a1c2-495a-afcc-14b6133a97e5"/>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78942EA5-8260-4DF2-AC2F-EED79C24F9CC}">
  <ds:schemaRefs>
    <ds:schemaRef ds:uri="http://schemas.microsoft.com/sharepoint/v3/contenttype/forms"/>
  </ds:schemaRefs>
</ds:datastoreItem>
</file>

<file path=customXml/itemProps3.xml><?xml version="1.0" encoding="utf-8"?>
<ds:datastoreItem xmlns:ds="http://schemas.openxmlformats.org/officeDocument/2006/customXml" ds:itemID="{BC35A9CF-0970-44F2-BC39-BB0E6F04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280e6-a1c2-495a-afcc-14b6133a9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B7CC8-0445-44C0-83D9-FDABAEA5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1528</Words>
  <Characters>8410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PETR</cp:lastModifiedBy>
  <cp:revision>48</cp:revision>
  <cp:lastPrinted>2019-09-19T09:15:00Z</cp:lastPrinted>
  <dcterms:created xsi:type="dcterms:W3CDTF">2025-02-26T16:22:00Z</dcterms:created>
  <dcterms:modified xsi:type="dcterms:W3CDTF">2025-04-03T09:54:00Z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0x01010081773E4E11BB0043A1494A2F5BB25321</vt:lpwstr>
  </property>
</Properties>
</file>