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14:paraId="790FEE03" w14:textId="77777777" w:rsidTr="00A95222">
        <w:trPr>
          <w:trHeight w:val="641"/>
          <w:jc w:val="center"/>
        </w:trPr>
        <w:tc>
          <w:tcPr>
            <w:tcW w:w="2547" w:type="dxa"/>
            <w:tcBorders>
              <w:bottom w:val="single" w:sz="4" w:space="0" w:color="auto"/>
            </w:tcBorders>
            <w:shd w:val="clear" w:color="auto" w:fill="FFFFFF" w:themeFill="background1"/>
            <w:vAlign w:val="center"/>
          </w:tcPr>
          <w:p w14:paraId="46A8CC7E" w14:textId="7B646F17" w:rsidR="00DC5BF0" w:rsidRPr="00EE1636" w:rsidRDefault="00B3589D" w:rsidP="00D9224D">
            <w:bookmarkStart w:id="0" w:name="_Hlk193712870"/>
            <w:r w:rsidRPr="00EE1636">
              <w:t>Action</w:t>
            </w:r>
            <w:r w:rsidR="001F3366" w:rsidRPr="00EE1636">
              <w:t xml:space="preserve"> </w:t>
            </w:r>
            <w:r w:rsidR="00D9224D">
              <w:t>n°</w:t>
            </w:r>
            <w:r w:rsidR="001250CA">
              <w:t>17</w:t>
            </w:r>
          </w:p>
        </w:tc>
        <w:tc>
          <w:tcPr>
            <w:tcW w:w="6973" w:type="dxa"/>
            <w:gridSpan w:val="4"/>
            <w:tcBorders>
              <w:bottom w:val="single" w:sz="4" w:space="0" w:color="auto"/>
            </w:tcBorders>
            <w:shd w:val="clear" w:color="auto" w:fill="FFFFFF" w:themeFill="background1"/>
            <w:vAlign w:val="center"/>
          </w:tcPr>
          <w:p w14:paraId="54B9DAE9" w14:textId="420BD436" w:rsidR="00CF5A01" w:rsidRPr="00BA59FE" w:rsidRDefault="00267ABF" w:rsidP="008B1140">
            <w:pPr>
              <w:jc w:val="center"/>
              <w:rPr>
                <w:rFonts w:ascii="Helvetica" w:hAnsi="Helvetica" w:cs="Helvetica"/>
                <w:b/>
                <w:color w:val="000000"/>
                <w:shd w:val="clear" w:color="auto" w:fill="FFFFFF"/>
              </w:rPr>
            </w:pPr>
            <w:r>
              <w:rPr>
                <w:rFonts w:ascii="Helvetica" w:hAnsi="Helvetica" w:cs="Helvetica"/>
                <w:b/>
                <w:color w:val="000000"/>
                <w:shd w:val="clear" w:color="auto" w:fill="FFFFFF"/>
              </w:rPr>
              <w:t>Attr</w:t>
            </w:r>
            <w:r w:rsidR="002F373E">
              <w:rPr>
                <w:rFonts w:ascii="Helvetica" w:hAnsi="Helvetica" w:cs="Helvetica"/>
                <w:b/>
                <w:color w:val="000000"/>
                <w:shd w:val="clear" w:color="auto" w:fill="FFFFFF"/>
              </w:rPr>
              <w:t>a</w:t>
            </w:r>
            <w:r>
              <w:rPr>
                <w:rFonts w:ascii="Helvetica" w:hAnsi="Helvetica" w:cs="Helvetica"/>
                <w:b/>
                <w:color w:val="000000"/>
                <w:shd w:val="clear" w:color="auto" w:fill="FFFFFF"/>
              </w:rPr>
              <w:t>ctivité et promotion des métiers</w:t>
            </w:r>
            <w:r w:rsidR="00E30D9A">
              <w:rPr>
                <w:rFonts w:ascii="Helvetica" w:hAnsi="Helvetica" w:cs="Helvetica"/>
                <w:b/>
                <w:color w:val="000000"/>
                <w:shd w:val="clear" w:color="auto" w:fill="FFFFFF"/>
              </w:rPr>
              <w:t xml:space="preserve"> de la santé</w:t>
            </w:r>
            <w:bookmarkStart w:id="1" w:name="_GoBack"/>
            <w:bookmarkEnd w:id="1"/>
          </w:p>
        </w:tc>
      </w:tr>
      <w:tr w:rsidR="00BA67BA" w:rsidRPr="00697F84" w14:paraId="2F95650E" w14:textId="77777777" w:rsidTr="00EE1636">
        <w:trPr>
          <w:jc w:val="center"/>
        </w:trPr>
        <w:tc>
          <w:tcPr>
            <w:tcW w:w="2547" w:type="dxa"/>
            <w:tcBorders>
              <w:left w:val="nil"/>
              <w:right w:val="nil"/>
            </w:tcBorders>
            <w:shd w:val="clear" w:color="auto" w:fill="FFFFFF" w:themeFill="background1"/>
            <w:vAlign w:val="center"/>
          </w:tcPr>
          <w:p w14:paraId="732AF354" w14:textId="77777777" w:rsidR="00BA67BA" w:rsidRPr="00697F84" w:rsidRDefault="00BA67BA" w:rsidP="00BA67BA">
            <w:pPr>
              <w:rPr>
                <w:rFonts w:ascii="Arial" w:hAnsi="Arial" w:cs="Arial"/>
                <w:b/>
                <w:sz w:val="20"/>
                <w:szCs w:val="20"/>
              </w:rPr>
            </w:pPr>
          </w:p>
        </w:tc>
        <w:tc>
          <w:tcPr>
            <w:tcW w:w="6973" w:type="dxa"/>
            <w:gridSpan w:val="4"/>
            <w:tcBorders>
              <w:left w:val="nil"/>
              <w:right w:val="nil"/>
            </w:tcBorders>
          </w:tcPr>
          <w:p w14:paraId="51C5E2AA" w14:textId="77777777" w:rsidR="00BA67BA" w:rsidRPr="00697F84" w:rsidRDefault="00BA67BA" w:rsidP="003C7858">
            <w:pPr>
              <w:jc w:val="both"/>
              <w:rPr>
                <w:rFonts w:ascii="Arial" w:hAnsi="Arial" w:cs="Arial"/>
                <w:noProof/>
                <w:sz w:val="20"/>
                <w:szCs w:val="20"/>
              </w:rPr>
            </w:pPr>
          </w:p>
        </w:tc>
      </w:tr>
      <w:tr w:rsidR="00354DE9" w:rsidRPr="00354DE9" w14:paraId="7C6B6F8A" w14:textId="77777777" w:rsidTr="00EE1636">
        <w:trPr>
          <w:trHeight w:val="487"/>
          <w:jc w:val="center"/>
        </w:trPr>
        <w:tc>
          <w:tcPr>
            <w:tcW w:w="2547" w:type="dxa"/>
            <w:shd w:val="clear" w:color="auto" w:fill="FFFFFF" w:themeFill="background1"/>
            <w:vAlign w:val="center"/>
          </w:tcPr>
          <w:p w14:paraId="1152A700" w14:textId="77777777" w:rsidR="00003907" w:rsidRPr="00354DE9" w:rsidRDefault="00003907" w:rsidP="00BA59FE">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14:paraId="2ADD6778" w14:textId="77777777" w:rsidR="002A03EA" w:rsidRDefault="00575F7C" w:rsidP="00BA59FE">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2" w:name="CaseACocher62"/>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bookmarkEnd w:id="2"/>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w:t>
            </w:r>
            <w:proofErr w:type="spellStart"/>
            <w:r w:rsidR="00003907" w:rsidRPr="00354DE9">
              <w:rPr>
                <w:rFonts w:ascii="Arial" w:hAnsi="Arial" w:cs="Arial"/>
                <w:sz w:val="20"/>
                <w:szCs w:val="20"/>
              </w:rPr>
              <w:t>Action</w:t>
            </w:r>
            <w:proofErr w:type="spellEnd"/>
            <w:r w:rsidR="00003907" w:rsidRPr="00354DE9">
              <w:rPr>
                <w:rFonts w:ascii="Arial" w:hAnsi="Arial" w:cs="Arial"/>
                <w:sz w:val="20"/>
                <w:szCs w:val="20"/>
              </w:rPr>
              <w:t xml:space="preserve"> expérimentale     </w:t>
            </w:r>
            <w:r w:rsidR="0039458C">
              <w:rPr>
                <w:rFonts w:ascii="Arial" w:hAnsi="Arial" w:cs="Arial"/>
                <w:sz w:val="20"/>
                <w:szCs w:val="20"/>
              </w:rPr>
              <w:fldChar w:fldCharType="begin">
                <w:ffData>
                  <w:name w:val=""/>
                  <w:enabled/>
                  <w:calcOnExit w:val="0"/>
                  <w:checkBox>
                    <w:sizeAuto/>
                    <w:default w:val="0"/>
                  </w:checkBox>
                </w:ffData>
              </w:fldChar>
            </w:r>
            <w:r w:rsidR="0039458C">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0039458C">
              <w:rPr>
                <w:rFonts w:ascii="Arial" w:hAnsi="Arial" w:cs="Arial"/>
                <w:sz w:val="20"/>
                <w:szCs w:val="20"/>
              </w:rPr>
              <w:fldChar w:fldCharType="end"/>
            </w:r>
            <w:r w:rsidR="002A03EA" w:rsidRPr="00354DE9">
              <w:rPr>
                <w:rFonts w:ascii="Arial" w:hAnsi="Arial" w:cs="Arial"/>
                <w:sz w:val="20"/>
                <w:szCs w:val="20"/>
              </w:rPr>
              <w:t xml:space="preserve"> Action </w:t>
            </w:r>
            <w:r w:rsidR="002A03EA">
              <w:rPr>
                <w:rFonts w:ascii="Arial" w:hAnsi="Arial" w:cs="Arial"/>
                <w:sz w:val="20"/>
                <w:szCs w:val="20"/>
              </w:rPr>
              <w:t>Innovante</w:t>
            </w:r>
            <w:r w:rsidR="002A03EA" w:rsidRPr="00354DE9">
              <w:rPr>
                <w:rFonts w:ascii="Arial" w:hAnsi="Arial" w:cs="Arial"/>
                <w:sz w:val="20"/>
                <w:szCs w:val="20"/>
              </w:rPr>
              <w:t xml:space="preserve">     </w:t>
            </w:r>
          </w:p>
          <w:p w14:paraId="0AD7307A" w14:textId="77777777" w:rsidR="00003907" w:rsidRPr="00354DE9" w:rsidRDefault="00B30CB5" w:rsidP="002A03EA">
            <w:pP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6F6247">
              <w:rPr>
                <w:rFonts w:ascii="Arial" w:hAnsi="Arial" w:cs="Arial"/>
                <w:sz w:val="20"/>
                <w:szCs w:val="20"/>
              </w:rPr>
              <w:t xml:space="preserve"> </w:t>
            </w:r>
            <w:r w:rsidR="00003907" w:rsidRPr="00C67C76">
              <w:rPr>
                <w:rFonts w:ascii="Arial" w:hAnsi="Arial" w:cs="Arial"/>
                <w:sz w:val="20"/>
                <w:szCs w:val="20"/>
              </w:rPr>
              <w:t xml:space="preserve">Action </w:t>
            </w:r>
            <w:r w:rsidR="00697F84" w:rsidRPr="00C67C76">
              <w:rPr>
                <w:rFonts w:ascii="Arial" w:hAnsi="Arial" w:cs="Arial"/>
                <w:sz w:val="20"/>
                <w:szCs w:val="20"/>
              </w:rPr>
              <w:t>existante</w:t>
            </w:r>
            <w:r w:rsidR="00003907" w:rsidRPr="00354DE9">
              <w:rPr>
                <w:rFonts w:ascii="Arial" w:hAnsi="Arial" w:cs="Arial"/>
                <w:sz w:val="20"/>
                <w:szCs w:val="20"/>
              </w:rPr>
              <w:t xml:space="preserve"> (adaptation, extension)</w:t>
            </w:r>
            <w:r w:rsidR="0057104E" w:rsidRPr="00354DE9">
              <w:rPr>
                <w:rFonts w:ascii="Arial" w:hAnsi="Arial" w:cs="Arial"/>
                <w:sz w:val="20"/>
                <w:szCs w:val="20"/>
              </w:rPr>
              <w:t xml:space="preserve"> </w:t>
            </w:r>
          </w:p>
        </w:tc>
      </w:tr>
      <w:tr w:rsidR="00CE2A16" w:rsidRPr="00354DE9" w14:paraId="375074B2" w14:textId="77777777" w:rsidTr="00996C61">
        <w:trPr>
          <w:trHeight w:val="323"/>
          <w:jc w:val="center"/>
        </w:trPr>
        <w:tc>
          <w:tcPr>
            <w:tcW w:w="2547" w:type="dxa"/>
            <w:vMerge w:val="restart"/>
            <w:shd w:val="clear" w:color="auto" w:fill="auto"/>
            <w:vAlign w:val="center"/>
          </w:tcPr>
          <w:p w14:paraId="40A2FC51" w14:textId="77777777" w:rsidR="00CE2A16" w:rsidRPr="00354DE9" w:rsidRDefault="001514A1" w:rsidP="00BA59FE">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auto"/>
            <w:vAlign w:val="center"/>
          </w:tcPr>
          <w:p w14:paraId="47B67A94" w14:textId="77777777"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shd w:val="clear" w:color="auto" w:fill="auto"/>
            <w:vAlign w:val="center"/>
          </w:tcPr>
          <w:p w14:paraId="3E8960B9" w14:textId="14657ACA" w:rsidR="008B1140" w:rsidRPr="00CB1869" w:rsidRDefault="001A701D" w:rsidP="0091435A">
            <w:pPr>
              <w:rPr>
                <w:rFonts w:ascii="Arial" w:hAnsi="Arial" w:cs="Arial"/>
                <w:i/>
                <w:sz w:val="20"/>
                <w:szCs w:val="20"/>
              </w:rPr>
            </w:pPr>
            <w:proofErr w:type="spellStart"/>
            <w:r>
              <w:rPr>
                <w:rFonts w:ascii="Arial" w:hAnsi="Arial" w:cs="Arial"/>
                <w:i/>
                <w:sz w:val="20"/>
                <w:szCs w:val="20"/>
              </w:rPr>
              <w:t>CeA</w:t>
            </w:r>
            <w:proofErr w:type="spellEnd"/>
            <w:r>
              <w:rPr>
                <w:rFonts w:ascii="Arial" w:hAnsi="Arial" w:cs="Arial"/>
                <w:i/>
                <w:sz w:val="20"/>
                <w:szCs w:val="20"/>
              </w:rPr>
              <w:t xml:space="preserve"> </w:t>
            </w:r>
            <w:r w:rsidR="00267ABF">
              <w:rPr>
                <w:rFonts w:ascii="Arial" w:hAnsi="Arial" w:cs="Arial"/>
                <w:i/>
                <w:sz w:val="20"/>
                <w:szCs w:val="20"/>
              </w:rPr>
              <w:t>/ PETR</w:t>
            </w:r>
            <w:r w:rsidR="00F57EBC">
              <w:rPr>
                <w:rFonts w:ascii="Arial" w:hAnsi="Arial" w:cs="Arial"/>
                <w:i/>
                <w:sz w:val="20"/>
                <w:szCs w:val="20"/>
              </w:rPr>
              <w:t xml:space="preserve"> Pays de Saverne Plaine et Plateau</w:t>
            </w:r>
            <w:r w:rsidR="00267ABF">
              <w:rPr>
                <w:rFonts w:ascii="Arial" w:hAnsi="Arial" w:cs="Arial"/>
                <w:i/>
                <w:sz w:val="20"/>
                <w:szCs w:val="20"/>
              </w:rPr>
              <w:t xml:space="preserve"> / ARS</w:t>
            </w:r>
          </w:p>
        </w:tc>
      </w:tr>
      <w:tr w:rsidR="00CE2A16" w:rsidRPr="00354DE9" w14:paraId="409E919D" w14:textId="77777777" w:rsidTr="00996C61">
        <w:trPr>
          <w:trHeight w:val="322"/>
          <w:jc w:val="center"/>
        </w:trPr>
        <w:tc>
          <w:tcPr>
            <w:tcW w:w="2547" w:type="dxa"/>
            <w:vMerge/>
            <w:shd w:val="clear" w:color="auto" w:fill="auto"/>
            <w:vAlign w:val="center"/>
          </w:tcPr>
          <w:p w14:paraId="2499A230" w14:textId="77777777" w:rsidR="00CE2A16" w:rsidRPr="00354DE9" w:rsidRDefault="00CE2A16" w:rsidP="00BA59FE">
            <w:pPr>
              <w:rPr>
                <w:rFonts w:ascii="Arial" w:hAnsi="Arial" w:cs="Arial"/>
                <w:b/>
                <w:sz w:val="20"/>
                <w:szCs w:val="20"/>
              </w:rPr>
            </w:pPr>
          </w:p>
        </w:tc>
        <w:tc>
          <w:tcPr>
            <w:tcW w:w="1701" w:type="dxa"/>
            <w:shd w:val="clear" w:color="auto" w:fill="auto"/>
            <w:vAlign w:val="center"/>
          </w:tcPr>
          <w:p w14:paraId="34EFD6E4" w14:textId="77777777"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shd w:val="clear" w:color="auto" w:fill="auto"/>
            <w:vAlign w:val="center"/>
          </w:tcPr>
          <w:p w14:paraId="7013BF4B" w14:textId="77777777" w:rsidR="00CE2A16" w:rsidRPr="00CB1869" w:rsidRDefault="00CE2A16" w:rsidP="00CB1869">
            <w:pPr>
              <w:rPr>
                <w:rFonts w:ascii="Arial" w:hAnsi="Arial" w:cs="Arial"/>
                <w:i/>
                <w:sz w:val="20"/>
                <w:szCs w:val="20"/>
              </w:rPr>
            </w:pPr>
          </w:p>
        </w:tc>
      </w:tr>
      <w:tr w:rsidR="00354DE9" w:rsidRPr="00354DE9" w14:paraId="0AA99798" w14:textId="77777777" w:rsidTr="00C55AAD">
        <w:trPr>
          <w:trHeight w:val="324"/>
          <w:jc w:val="center"/>
        </w:trPr>
        <w:tc>
          <w:tcPr>
            <w:tcW w:w="2547" w:type="dxa"/>
            <w:shd w:val="clear" w:color="auto" w:fill="FFFFFF" w:themeFill="background1"/>
            <w:vAlign w:val="center"/>
          </w:tcPr>
          <w:p w14:paraId="1E450722" w14:textId="77777777" w:rsidR="0057104E" w:rsidRPr="00354DE9" w:rsidRDefault="0057104E" w:rsidP="00BA59FE">
            <w:pPr>
              <w:rPr>
                <w:rFonts w:ascii="Arial" w:hAnsi="Arial" w:cs="Arial"/>
                <w:b/>
                <w:sz w:val="20"/>
                <w:szCs w:val="20"/>
              </w:rPr>
            </w:pPr>
            <w:r w:rsidRPr="00354DE9">
              <w:rPr>
                <w:rFonts w:ascii="Arial" w:hAnsi="Arial" w:cs="Arial"/>
                <w:b/>
                <w:sz w:val="20"/>
                <w:szCs w:val="20"/>
              </w:rPr>
              <w:t>Axe stratégique du CLS</w:t>
            </w:r>
          </w:p>
        </w:tc>
        <w:tc>
          <w:tcPr>
            <w:tcW w:w="6973" w:type="dxa"/>
            <w:gridSpan w:val="4"/>
            <w:vAlign w:val="center"/>
          </w:tcPr>
          <w:p w14:paraId="592F67AF" w14:textId="77777777" w:rsidR="0057104E" w:rsidRPr="00F743EE" w:rsidRDefault="0085174A" w:rsidP="00D9224D">
            <w:pPr>
              <w:rPr>
                <w:rFonts w:ascii="Arial" w:hAnsi="Arial" w:cs="Arial"/>
                <w:b/>
                <w:bCs/>
                <w:sz w:val="20"/>
                <w:szCs w:val="20"/>
              </w:rPr>
            </w:pPr>
            <w:r w:rsidRPr="0085174A">
              <w:rPr>
                <w:rFonts w:ascii="Arial" w:hAnsi="Arial" w:cs="Arial"/>
                <w:b/>
                <w:bCs/>
                <w:sz w:val="20"/>
                <w:szCs w:val="20"/>
              </w:rPr>
              <w:t>Axe 3 : Faciliter l’accessibilité des soins et l’attractivité des métiers</w:t>
            </w:r>
          </w:p>
        </w:tc>
      </w:tr>
      <w:tr w:rsidR="00354DE9" w:rsidRPr="00354DE9" w14:paraId="1D67945E" w14:textId="77777777" w:rsidTr="00C55AAD">
        <w:trPr>
          <w:trHeight w:val="600"/>
          <w:jc w:val="center"/>
        </w:trPr>
        <w:tc>
          <w:tcPr>
            <w:tcW w:w="2547" w:type="dxa"/>
            <w:shd w:val="clear" w:color="auto" w:fill="FFFFFF" w:themeFill="background1"/>
            <w:vAlign w:val="center"/>
          </w:tcPr>
          <w:p w14:paraId="27294EBA" w14:textId="77777777" w:rsidR="009E5171" w:rsidRPr="00354DE9" w:rsidRDefault="009E5171" w:rsidP="00BA59FE">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14:paraId="76BE0B5C" w14:textId="77777777" w:rsidR="008D08A8" w:rsidRDefault="008D08A8" w:rsidP="008D08A8">
            <w:pPr>
              <w:jc w:val="both"/>
              <w:rPr>
                <w:rFonts w:ascii="Arial" w:hAnsi="Arial" w:cs="Arial"/>
                <w:sz w:val="20"/>
                <w:szCs w:val="20"/>
              </w:rPr>
            </w:pPr>
            <w:r w:rsidRPr="008D08A8">
              <w:rPr>
                <w:rFonts w:ascii="Arial" w:hAnsi="Arial" w:cs="Arial"/>
                <w:sz w:val="20"/>
                <w:szCs w:val="20"/>
              </w:rPr>
              <w:t>L’avancée en âge des médecins et le phénomène de désertification médicale ont conduit à une mobilisation dans les actes ou dans les intentions de l’ensemble des acteurs, notamment des collectivités territoriales et de l’ARS.</w:t>
            </w:r>
          </w:p>
          <w:p w14:paraId="43E448F7" w14:textId="77777777" w:rsidR="002F373E" w:rsidRPr="008D08A8" w:rsidRDefault="002F373E" w:rsidP="008D08A8">
            <w:pPr>
              <w:jc w:val="both"/>
              <w:rPr>
                <w:rFonts w:ascii="Arial" w:hAnsi="Arial" w:cs="Arial"/>
                <w:sz w:val="20"/>
                <w:szCs w:val="20"/>
              </w:rPr>
            </w:pPr>
          </w:p>
          <w:p w14:paraId="73C6C7CC" w14:textId="77777777" w:rsidR="008D08A8" w:rsidRDefault="008D08A8" w:rsidP="008D08A8">
            <w:pPr>
              <w:jc w:val="both"/>
              <w:rPr>
                <w:rFonts w:ascii="Arial" w:hAnsi="Arial" w:cs="Arial"/>
                <w:sz w:val="20"/>
                <w:szCs w:val="20"/>
              </w:rPr>
            </w:pPr>
            <w:r w:rsidRPr="008D08A8">
              <w:rPr>
                <w:rFonts w:ascii="Arial" w:hAnsi="Arial" w:cs="Arial"/>
                <w:sz w:val="20"/>
                <w:szCs w:val="20"/>
              </w:rPr>
              <w:t>Cette dynamique, parfois en ordre dispersé n’est pas lisible de l’ensemble des acteurs et pourrait bénéficier d’une meilleure coordination pour stimuler son efficacité mais aussi mieux porter les intérêts de chaque territoire.</w:t>
            </w:r>
          </w:p>
          <w:p w14:paraId="73F69240" w14:textId="77777777" w:rsidR="002F373E" w:rsidRPr="008D08A8" w:rsidRDefault="002F373E" w:rsidP="008D08A8">
            <w:pPr>
              <w:jc w:val="both"/>
              <w:rPr>
                <w:rFonts w:ascii="Arial" w:hAnsi="Arial" w:cs="Arial"/>
                <w:sz w:val="20"/>
                <w:szCs w:val="20"/>
              </w:rPr>
            </w:pPr>
          </w:p>
          <w:p w14:paraId="2BEBD539" w14:textId="77777777" w:rsidR="008D08A8" w:rsidRDefault="008D08A8" w:rsidP="008D08A8">
            <w:pPr>
              <w:jc w:val="both"/>
              <w:rPr>
                <w:rFonts w:ascii="Arial" w:hAnsi="Arial" w:cs="Arial"/>
                <w:sz w:val="20"/>
                <w:szCs w:val="20"/>
              </w:rPr>
            </w:pPr>
            <w:r w:rsidRPr="008D08A8">
              <w:rPr>
                <w:rFonts w:ascii="Arial" w:hAnsi="Arial" w:cs="Arial"/>
                <w:sz w:val="20"/>
                <w:szCs w:val="20"/>
              </w:rPr>
              <w:t xml:space="preserve">La première dimension de ce projet est de constituer un comité territorial réunissant les représentants des intercommunalités, la </w:t>
            </w:r>
            <w:proofErr w:type="spellStart"/>
            <w:r w:rsidRPr="008D08A8">
              <w:rPr>
                <w:rFonts w:ascii="Arial" w:hAnsi="Arial" w:cs="Arial"/>
                <w:sz w:val="20"/>
                <w:szCs w:val="20"/>
              </w:rPr>
              <w:t>CeA</w:t>
            </w:r>
            <w:proofErr w:type="spellEnd"/>
            <w:r w:rsidRPr="008D08A8">
              <w:rPr>
                <w:rFonts w:ascii="Arial" w:hAnsi="Arial" w:cs="Arial"/>
                <w:sz w:val="20"/>
                <w:szCs w:val="20"/>
              </w:rPr>
              <w:t>, l’ADT, l’ARS, les CPTS pour partager les ambitions et les actions et développer une véritable stratégie territoriale.</w:t>
            </w:r>
          </w:p>
          <w:p w14:paraId="4E2BB2D3" w14:textId="77777777" w:rsidR="002F373E" w:rsidRPr="008D08A8" w:rsidRDefault="002F373E" w:rsidP="008D08A8">
            <w:pPr>
              <w:jc w:val="both"/>
              <w:rPr>
                <w:rFonts w:ascii="Arial" w:hAnsi="Arial" w:cs="Arial"/>
                <w:sz w:val="20"/>
                <w:szCs w:val="20"/>
              </w:rPr>
            </w:pPr>
          </w:p>
          <w:p w14:paraId="1697A75B" w14:textId="77777777" w:rsidR="00AE0A60" w:rsidRDefault="008D08A8" w:rsidP="008D08A8">
            <w:pPr>
              <w:jc w:val="both"/>
              <w:rPr>
                <w:rFonts w:ascii="Arial" w:hAnsi="Arial" w:cs="Arial"/>
                <w:sz w:val="20"/>
                <w:szCs w:val="20"/>
              </w:rPr>
            </w:pPr>
            <w:r w:rsidRPr="008D08A8">
              <w:rPr>
                <w:rFonts w:ascii="Arial" w:hAnsi="Arial" w:cs="Arial"/>
                <w:sz w:val="20"/>
                <w:szCs w:val="20"/>
              </w:rPr>
              <w:t xml:space="preserve">La deuxième dimension intègre le développement de l’offre de stage en identifiant les points de tensions : quantitatives, de besoins de lieux d’exercice adapté et de besoins d’hébergement, ou d’insertion professionnelles pour </w:t>
            </w:r>
            <w:proofErr w:type="gramStart"/>
            <w:r w:rsidRPr="008D08A8">
              <w:rPr>
                <w:rFonts w:ascii="Arial" w:hAnsi="Arial" w:cs="Arial"/>
                <w:sz w:val="20"/>
                <w:szCs w:val="20"/>
              </w:rPr>
              <w:t>les conjoint</w:t>
            </w:r>
            <w:proofErr w:type="gramEnd"/>
            <w:r w:rsidR="0037759A">
              <w:rPr>
                <w:rFonts w:ascii="Arial" w:hAnsi="Arial" w:cs="Arial"/>
                <w:sz w:val="20"/>
                <w:szCs w:val="20"/>
              </w:rPr>
              <w:t>(e)</w:t>
            </w:r>
            <w:r w:rsidRPr="008D08A8">
              <w:rPr>
                <w:rFonts w:ascii="Arial" w:hAnsi="Arial" w:cs="Arial"/>
                <w:sz w:val="20"/>
                <w:szCs w:val="20"/>
              </w:rPr>
              <w:t>s des médecins.</w:t>
            </w:r>
          </w:p>
          <w:p w14:paraId="2874DAB6" w14:textId="77777777" w:rsidR="00B5272C" w:rsidRDefault="00B5272C" w:rsidP="008D08A8">
            <w:pPr>
              <w:jc w:val="both"/>
              <w:rPr>
                <w:rFonts w:ascii="Arial" w:hAnsi="Arial" w:cs="Arial"/>
                <w:sz w:val="20"/>
                <w:szCs w:val="20"/>
              </w:rPr>
            </w:pPr>
          </w:p>
          <w:p w14:paraId="17420F2F" w14:textId="77777777" w:rsidR="00B5272C" w:rsidRDefault="00B5272C" w:rsidP="008D08A8">
            <w:pPr>
              <w:jc w:val="both"/>
              <w:rPr>
                <w:rFonts w:ascii="Arial" w:hAnsi="Arial" w:cs="Arial"/>
                <w:sz w:val="20"/>
                <w:szCs w:val="20"/>
              </w:rPr>
            </w:pPr>
            <w:r>
              <w:rPr>
                <w:rFonts w:ascii="Arial" w:hAnsi="Arial" w:cs="Arial"/>
                <w:sz w:val="20"/>
                <w:szCs w:val="20"/>
              </w:rPr>
              <w:t>Actuellement, le territoire couvert par le CLS dispose de :</w:t>
            </w:r>
          </w:p>
          <w:p w14:paraId="09F84B54" w14:textId="7B71B2F3" w:rsidR="00B5272C" w:rsidRDefault="00B5272C" w:rsidP="00B5272C">
            <w:pPr>
              <w:pStyle w:val="Paragraphedeliste"/>
              <w:numPr>
                <w:ilvl w:val="0"/>
                <w:numId w:val="11"/>
              </w:numPr>
              <w:jc w:val="both"/>
              <w:rPr>
                <w:rFonts w:ascii="Arial" w:hAnsi="Arial" w:cs="Arial"/>
                <w:sz w:val="20"/>
                <w:szCs w:val="20"/>
              </w:rPr>
            </w:pPr>
            <w:r>
              <w:rPr>
                <w:rFonts w:ascii="Arial" w:hAnsi="Arial" w:cs="Arial"/>
                <w:sz w:val="20"/>
                <w:szCs w:val="20"/>
              </w:rPr>
              <w:t>1 centre hospitalier et un hôpital de proximité</w:t>
            </w:r>
          </w:p>
          <w:p w14:paraId="211E794E" w14:textId="35654AEE" w:rsidR="00B5272C" w:rsidRDefault="00B5272C" w:rsidP="00B5272C">
            <w:pPr>
              <w:pStyle w:val="Paragraphedeliste"/>
              <w:numPr>
                <w:ilvl w:val="0"/>
                <w:numId w:val="11"/>
              </w:numPr>
              <w:jc w:val="both"/>
              <w:rPr>
                <w:rFonts w:ascii="Arial" w:hAnsi="Arial" w:cs="Arial"/>
                <w:sz w:val="20"/>
                <w:szCs w:val="20"/>
              </w:rPr>
            </w:pPr>
            <w:r>
              <w:rPr>
                <w:rFonts w:ascii="Arial" w:hAnsi="Arial" w:cs="Arial"/>
                <w:sz w:val="20"/>
                <w:szCs w:val="20"/>
              </w:rPr>
              <w:t>Un IFSI et un IFAS à Saverne</w:t>
            </w:r>
          </w:p>
          <w:p w14:paraId="54A46646" w14:textId="44D0FEAA" w:rsidR="00B5272C" w:rsidRDefault="00B5272C" w:rsidP="00B5272C">
            <w:pPr>
              <w:pStyle w:val="Paragraphedeliste"/>
              <w:numPr>
                <w:ilvl w:val="0"/>
                <w:numId w:val="11"/>
              </w:numPr>
              <w:jc w:val="both"/>
              <w:rPr>
                <w:rFonts w:ascii="Arial" w:hAnsi="Arial" w:cs="Arial"/>
                <w:sz w:val="20"/>
                <w:szCs w:val="20"/>
              </w:rPr>
            </w:pPr>
            <w:r>
              <w:rPr>
                <w:rFonts w:ascii="Arial" w:hAnsi="Arial" w:cs="Arial"/>
                <w:sz w:val="20"/>
                <w:szCs w:val="20"/>
              </w:rPr>
              <w:t>2 CPTS : Saverne et Mossig Vignoble</w:t>
            </w:r>
          </w:p>
          <w:p w14:paraId="7731556E" w14:textId="77777777" w:rsidR="00B5272C" w:rsidRDefault="00B5272C" w:rsidP="00B5272C">
            <w:pPr>
              <w:pStyle w:val="Paragraphedeliste"/>
              <w:numPr>
                <w:ilvl w:val="0"/>
                <w:numId w:val="11"/>
              </w:numPr>
              <w:jc w:val="both"/>
              <w:rPr>
                <w:rFonts w:ascii="Arial" w:hAnsi="Arial" w:cs="Arial"/>
                <w:sz w:val="20"/>
                <w:szCs w:val="20"/>
              </w:rPr>
            </w:pPr>
            <w:r>
              <w:rPr>
                <w:rFonts w:ascii="Arial" w:hAnsi="Arial" w:cs="Arial"/>
                <w:sz w:val="20"/>
                <w:szCs w:val="20"/>
              </w:rPr>
              <w:t>5 MSP</w:t>
            </w:r>
          </w:p>
          <w:p w14:paraId="4510ED1D" w14:textId="77777777" w:rsidR="00B5272C" w:rsidRDefault="00B5272C" w:rsidP="00B5272C">
            <w:pPr>
              <w:pStyle w:val="Paragraphedeliste"/>
              <w:numPr>
                <w:ilvl w:val="0"/>
                <w:numId w:val="11"/>
              </w:numPr>
              <w:jc w:val="both"/>
              <w:rPr>
                <w:rFonts w:ascii="Arial" w:hAnsi="Arial" w:cs="Arial"/>
                <w:sz w:val="20"/>
                <w:szCs w:val="20"/>
              </w:rPr>
            </w:pPr>
            <w:r>
              <w:rPr>
                <w:rFonts w:ascii="Arial" w:hAnsi="Arial" w:cs="Arial"/>
                <w:sz w:val="20"/>
                <w:szCs w:val="20"/>
              </w:rPr>
              <w:t>8 ESP</w:t>
            </w:r>
          </w:p>
          <w:p w14:paraId="115FA5C8" w14:textId="1F650EA7" w:rsidR="00B5272C" w:rsidRPr="00B5272C" w:rsidRDefault="00B5272C" w:rsidP="00B5272C">
            <w:pPr>
              <w:pStyle w:val="Paragraphedeliste"/>
              <w:jc w:val="both"/>
              <w:rPr>
                <w:rFonts w:ascii="Arial" w:hAnsi="Arial" w:cs="Arial"/>
                <w:sz w:val="20"/>
                <w:szCs w:val="20"/>
              </w:rPr>
            </w:pPr>
          </w:p>
        </w:tc>
      </w:tr>
      <w:tr w:rsidR="00354DE9" w:rsidRPr="00354DE9" w14:paraId="6DA6DF89" w14:textId="77777777" w:rsidTr="00EE1636">
        <w:trPr>
          <w:trHeight w:val="681"/>
          <w:jc w:val="center"/>
        </w:trPr>
        <w:tc>
          <w:tcPr>
            <w:tcW w:w="2547" w:type="dxa"/>
            <w:shd w:val="clear" w:color="auto" w:fill="FFFFFF" w:themeFill="background1"/>
            <w:vAlign w:val="center"/>
          </w:tcPr>
          <w:p w14:paraId="29B3A228" w14:textId="77777777" w:rsidR="009507D8" w:rsidRPr="00E92D2D" w:rsidRDefault="00853973" w:rsidP="00155A3B">
            <w:pPr>
              <w:rPr>
                <w:rFonts w:ascii="Arial" w:hAnsi="Arial" w:cs="Arial"/>
                <w:b/>
                <w:sz w:val="20"/>
                <w:szCs w:val="20"/>
              </w:rPr>
            </w:pPr>
            <w:r w:rsidRPr="00E92D2D">
              <w:rPr>
                <w:rFonts w:ascii="Arial" w:hAnsi="Arial" w:cs="Arial"/>
                <w:b/>
                <w:sz w:val="20"/>
                <w:szCs w:val="20"/>
              </w:rPr>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14:paraId="6B60A15C" w14:textId="77777777" w:rsidR="005B3191"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sidRPr="00635DD5">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635DD5" w:rsidRPr="00B83B06">
                  <w:rPr>
                    <w:rStyle w:val="Textedelespacerserv"/>
                  </w:rPr>
                  <w:t>Choisissez un élément.</w:t>
                </w:r>
              </w:sdtContent>
            </w:sdt>
          </w:p>
          <w:p w14:paraId="751B358A"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14:paraId="2FE1D75C" w14:textId="77777777" w:rsidR="005B3191" w:rsidRDefault="005F154C"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14:paraId="060FB161" w14:textId="77777777" w:rsidR="00E22823"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E22823" w:rsidRPr="00635DD5">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D9224D">
                  <w:rPr>
                    <w:rFonts w:ascii="Arial" w:hAnsi="Arial" w:cs="Arial"/>
                    <w:sz w:val="20"/>
                    <w:szCs w:val="20"/>
                  </w:rPr>
                  <w:t xml:space="preserve">Objectif </w:t>
                </w:r>
              </w:sdtContent>
            </w:sdt>
          </w:p>
          <w:p w14:paraId="23147842" w14:textId="77777777" w:rsidR="00E22823"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14:paraId="63564149" w14:textId="77777777"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9D1504">
                  <w:rPr>
                    <w:rFonts w:ascii="Arial" w:hAnsi="Arial" w:cs="Arial"/>
                    <w:sz w:val="20"/>
                    <w:szCs w:val="20"/>
                  </w:rPr>
                  <w:t xml:space="preserve"> </w:t>
                </w:r>
              </w:sdtContent>
            </w:sdt>
          </w:p>
          <w:p w14:paraId="7F136808" w14:textId="77777777" w:rsidR="00BD6522"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14:paraId="268AE4EF" w14:textId="77777777" w:rsidR="003E6827"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14:paraId="397D5933" w14:textId="77777777"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14:paraId="18D3D218" w14:textId="77777777"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14:paraId="112FB106" w14:textId="77777777" w:rsidR="00867184" w:rsidRPr="00E92D2D" w:rsidRDefault="00867184" w:rsidP="00BD6522">
            <w:pPr>
              <w:rPr>
                <w:rFonts w:ascii="Arial" w:hAnsi="Arial" w:cs="Arial"/>
                <w:sz w:val="20"/>
                <w:szCs w:val="20"/>
              </w:rPr>
            </w:pPr>
          </w:p>
        </w:tc>
      </w:tr>
      <w:tr w:rsidR="009B2256" w:rsidRPr="00354DE9" w14:paraId="03640867" w14:textId="77777777" w:rsidTr="00EE1636">
        <w:trPr>
          <w:trHeight w:val="681"/>
          <w:jc w:val="center"/>
        </w:trPr>
        <w:tc>
          <w:tcPr>
            <w:tcW w:w="2547" w:type="dxa"/>
            <w:shd w:val="clear" w:color="auto" w:fill="FFFFFF" w:themeFill="background1"/>
            <w:vAlign w:val="center"/>
          </w:tcPr>
          <w:p w14:paraId="35DA78FD" w14:textId="77777777"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91435A">
              <w:rPr>
                <w:rFonts w:ascii="Arial" w:hAnsi="Arial" w:cs="Arial"/>
                <w:b/>
                <w:sz w:val="20"/>
                <w:szCs w:val="20"/>
              </w:rPr>
              <w:t>4</w:t>
            </w:r>
          </w:p>
        </w:tc>
        <w:tc>
          <w:tcPr>
            <w:tcW w:w="6973" w:type="dxa"/>
            <w:gridSpan w:val="4"/>
            <w:vAlign w:val="center"/>
          </w:tcPr>
          <w:p w14:paraId="1960633F" w14:textId="77777777"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w:t>
            </w:r>
            <w:r w:rsidR="0091435A">
              <w:rPr>
                <w:rFonts w:ascii="Arial" w:hAnsi="Arial" w:cs="Arial"/>
                <w:sz w:val="20"/>
                <w:szCs w:val="20"/>
              </w:rPr>
              <w:t xml:space="preserve">modes de vie et de consommation favorable à la santé </w:t>
            </w:r>
            <w:r>
              <w:rPr>
                <w:rFonts w:ascii="Arial" w:hAnsi="Arial" w:cs="Arial"/>
                <w:sz w:val="20"/>
                <w:szCs w:val="20"/>
              </w:rPr>
              <w:t xml:space="preserve"> </w:t>
            </w:r>
          </w:p>
          <w:p w14:paraId="21CC197E"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2 : Un</w:t>
            </w:r>
            <w:r w:rsidR="005E0E8C">
              <w:rPr>
                <w:rFonts w:ascii="Arial" w:hAnsi="Arial" w:cs="Arial"/>
                <w:sz w:val="20"/>
                <w:szCs w:val="20"/>
              </w:rPr>
              <w:t xml:space="preserve"> aménagement du</w:t>
            </w:r>
            <w:r w:rsidR="009B2256">
              <w:rPr>
                <w:rFonts w:ascii="Arial" w:hAnsi="Arial" w:cs="Arial"/>
                <w:sz w:val="20"/>
                <w:szCs w:val="20"/>
              </w:rPr>
              <w:t xml:space="preserve"> cadre de </w:t>
            </w:r>
            <w:r w:rsidR="005E0E8C">
              <w:rPr>
                <w:rFonts w:ascii="Arial" w:hAnsi="Arial" w:cs="Arial"/>
                <w:sz w:val="20"/>
                <w:szCs w:val="20"/>
              </w:rPr>
              <w:t xml:space="preserve">vie extérieur </w:t>
            </w:r>
            <w:r w:rsidR="009B2256">
              <w:rPr>
                <w:rFonts w:ascii="Arial" w:hAnsi="Arial" w:cs="Arial"/>
                <w:sz w:val="20"/>
                <w:szCs w:val="20"/>
              </w:rPr>
              <w:t>favorable à la santé</w:t>
            </w:r>
            <w:r w:rsidR="005E0E8C">
              <w:rPr>
                <w:rFonts w:ascii="Arial" w:hAnsi="Arial" w:cs="Arial"/>
                <w:sz w:val="20"/>
                <w:szCs w:val="20"/>
              </w:rPr>
              <w:t xml:space="preserve"> et à l’environnement</w:t>
            </w:r>
            <w:r w:rsidR="009B2256">
              <w:rPr>
                <w:rFonts w:ascii="Arial" w:hAnsi="Arial" w:cs="Arial"/>
                <w:sz w:val="20"/>
                <w:szCs w:val="20"/>
              </w:rPr>
              <w:t xml:space="preserve"> </w:t>
            </w:r>
          </w:p>
          <w:p w14:paraId="2DFAB3B1"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3 : </w:t>
            </w:r>
            <w:r w:rsidR="005E0E8C">
              <w:rPr>
                <w:rFonts w:ascii="Arial" w:hAnsi="Arial" w:cs="Arial"/>
                <w:sz w:val="20"/>
                <w:szCs w:val="20"/>
              </w:rPr>
              <w:t xml:space="preserve">Une seule santé : One Health </w:t>
            </w:r>
          </w:p>
          <w:p w14:paraId="05CC5AA1" w14:textId="77777777" w:rsidR="005E0E8C" w:rsidRDefault="005E0E8C"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4 : La santé </w:t>
            </w:r>
            <w:proofErr w:type="gramStart"/>
            <w:r>
              <w:rPr>
                <w:rFonts w:ascii="Arial" w:hAnsi="Arial" w:cs="Arial"/>
                <w:sz w:val="20"/>
                <w:szCs w:val="20"/>
              </w:rPr>
              <w:t>environnement  dans</w:t>
            </w:r>
            <w:proofErr w:type="gramEnd"/>
            <w:r>
              <w:rPr>
                <w:rFonts w:ascii="Arial" w:hAnsi="Arial" w:cs="Arial"/>
                <w:sz w:val="20"/>
                <w:szCs w:val="20"/>
              </w:rPr>
              <w:t xml:space="preserve"> les territoires et au plus près des citoyens</w:t>
            </w:r>
          </w:p>
          <w:p w14:paraId="0BBD975A" w14:textId="77777777" w:rsidR="00880675" w:rsidRDefault="005F154C" w:rsidP="00F91A39">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F91A39" w:rsidRPr="00635DD5">
              <w:rPr>
                <w:rFonts w:ascii="Arial" w:hAnsi="Arial" w:cs="Arial"/>
                <w:sz w:val="20"/>
                <w:szCs w:val="20"/>
              </w:rPr>
              <w:t>Hors</w:t>
            </w:r>
            <w:r w:rsidR="00880675" w:rsidRPr="00635DD5">
              <w:rPr>
                <w:rFonts w:ascii="Arial" w:hAnsi="Arial" w:cs="Arial"/>
                <w:sz w:val="20"/>
                <w:szCs w:val="20"/>
              </w:rPr>
              <w:t xml:space="preserve"> PRSE</w:t>
            </w:r>
            <w:r w:rsidR="00880675">
              <w:rPr>
                <w:rFonts w:ascii="Arial" w:hAnsi="Arial" w:cs="Arial"/>
                <w:sz w:val="20"/>
                <w:szCs w:val="20"/>
              </w:rPr>
              <w:t xml:space="preserve"> </w:t>
            </w:r>
            <w:r w:rsidR="00587D2A">
              <w:rPr>
                <w:rFonts w:ascii="Arial" w:hAnsi="Arial" w:cs="Arial"/>
                <w:sz w:val="20"/>
                <w:szCs w:val="20"/>
              </w:rPr>
              <w:t>4</w:t>
            </w:r>
          </w:p>
        </w:tc>
      </w:tr>
      <w:tr w:rsidR="005C6B90" w:rsidRPr="00354DE9" w14:paraId="5B183BF5" w14:textId="77777777" w:rsidTr="00EE1636">
        <w:trPr>
          <w:jc w:val="center"/>
        </w:trPr>
        <w:tc>
          <w:tcPr>
            <w:tcW w:w="2547" w:type="dxa"/>
            <w:shd w:val="clear" w:color="auto" w:fill="FFFFFF" w:themeFill="background1"/>
            <w:vAlign w:val="center"/>
          </w:tcPr>
          <w:p w14:paraId="2FA30D71" w14:textId="77777777" w:rsidR="005C6B90" w:rsidRPr="00354DE9" w:rsidRDefault="005C6B90" w:rsidP="00454C16">
            <w:pPr>
              <w:rPr>
                <w:rFonts w:ascii="Arial" w:hAnsi="Arial" w:cs="Arial"/>
                <w:b/>
                <w:sz w:val="20"/>
                <w:szCs w:val="20"/>
              </w:rPr>
            </w:pPr>
            <w:r>
              <w:rPr>
                <w:rFonts w:ascii="Arial" w:hAnsi="Arial" w:cs="Arial"/>
                <w:b/>
                <w:sz w:val="20"/>
                <w:szCs w:val="20"/>
              </w:rPr>
              <w:t xml:space="preserve">Objectif général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1D478078" w14:textId="1A2A24D0" w:rsidR="008B1140" w:rsidRPr="00354DE9" w:rsidRDefault="00144008" w:rsidP="00F16670">
            <w:pPr>
              <w:rPr>
                <w:rFonts w:ascii="Arial" w:hAnsi="Arial" w:cs="Arial"/>
                <w:sz w:val="20"/>
                <w:szCs w:val="20"/>
              </w:rPr>
            </w:pPr>
            <w:r>
              <w:rPr>
                <w:rFonts w:ascii="Arial" w:hAnsi="Arial" w:cs="Arial"/>
                <w:sz w:val="20"/>
                <w:szCs w:val="20"/>
              </w:rPr>
              <w:t xml:space="preserve">Améliorer </w:t>
            </w:r>
            <w:r w:rsidR="002F373E">
              <w:rPr>
                <w:rFonts w:ascii="Arial" w:hAnsi="Arial" w:cs="Arial"/>
                <w:sz w:val="20"/>
                <w:szCs w:val="20"/>
              </w:rPr>
              <w:t>l’attractivité du territoire</w:t>
            </w:r>
            <w:r w:rsidR="00810FDC">
              <w:rPr>
                <w:rFonts w:ascii="Arial" w:hAnsi="Arial" w:cs="Arial"/>
                <w:sz w:val="20"/>
                <w:szCs w:val="20"/>
              </w:rPr>
              <w:t xml:space="preserve"> pour les professionnels médicaux et paramédicaux</w:t>
            </w:r>
          </w:p>
        </w:tc>
      </w:tr>
      <w:tr w:rsidR="00354DE9" w:rsidRPr="00354DE9" w14:paraId="4953ADDC" w14:textId="77777777" w:rsidTr="00EE1636">
        <w:trPr>
          <w:jc w:val="center"/>
        </w:trPr>
        <w:tc>
          <w:tcPr>
            <w:tcW w:w="2547" w:type="dxa"/>
            <w:shd w:val="clear" w:color="auto" w:fill="FFFFFF" w:themeFill="background1"/>
            <w:vAlign w:val="center"/>
          </w:tcPr>
          <w:p w14:paraId="4BC100F7" w14:textId="77777777" w:rsidR="009507D8" w:rsidRPr="00354DE9" w:rsidRDefault="009507D8" w:rsidP="00155A3B">
            <w:pPr>
              <w:rPr>
                <w:rFonts w:ascii="Arial" w:hAnsi="Arial" w:cs="Arial"/>
                <w:b/>
                <w:sz w:val="20"/>
                <w:szCs w:val="20"/>
              </w:rPr>
            </w:pPr>
            <w:r w:rsidRPr="00354DE9">
              <w:rPr>
                <w:rFonts w:ascii="Arial" w:hAnsi="Arial" w:cs="Arial"/>
                <w:b/>
                <w:sz w:val="20"/>
                <w:szCs w:val="20"/>
              </w:rPr>
              <w:lastRenderedPageBreak/>
              <w:t xml:space="preserve">Objectifs </w:t>
            </w:r>
            <w:r w:rsidR="00354DE9" w:rsidRPr="00354DE9">
              <w:rPr>
                <w:rFonts w:ascii="Arial" w:hAnsi="Arial" w:cs="Arial"/>
                <w:b/>
                <w:sz w:val="20"/>
                <w:szCs w:val="20"/>
              </w:rPr>
              <w:t>spécifiques</w:t>
            </w:r>
            <w:r w:rsidR="00454C16">
              <w:rPr>
                <w:rFonts w:ascii="Arial" w:hAnsi="Arial" w:cs="Arial"/>
                <w:b/>
                <w:sz w:val="20"/>
                <w:szCs w:val="20"/>
              </w:rPr>
              <w:t xml:space="preserve">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3C9B3622" w14:textId="77777777" w:rsidR="002C41C2" w:rsidRDefault="002C41C2" w:rsidP="002C41C2">
            <w:pPr>
              <w:pStyle w:val="Paragraphedeliste"/>
              <w:numPr>
                <w:ilvl w:val="0"/>
                <w:numId w:val="6"/>
              </w:numPr>
              <w:rPr>
                <w:rFonts w:ascii="Arial" w:hAnsi="Arial" w:cs="Arial"/>
                <w:sz w:val="20"/>
                <w:szCs w:val="20"/>
              </w:rPr>
            </w:pPr>
            <w:r>
              <w:rPr>
                <w:rFonts w:ascii="Arial" w:hAnsi="Arial" w:cs="Arial"/>
                <w:sz w:val="20"/>
                <w:szCs w:val="20"/>
              </w:rPr>
              <w:t>Favoriser la venue de stagiaire en santé dans le cadre d’une stratégie territorial concertée de promotion des métiers</w:t>
            </w:r>
          </w:p>
          <w:p w14:paraId="79E19B01" w14:textId="7F122673" w:rsidR="008C77A6" w:rsidRPr="008C77A6" w:rsidRDefault="008D08A8" w:rsidP="008C77A6">
            <w:pPr>
              <w:pStyle w:val="Paragraphedeliste"/>
              <w:numPr>
                <w:ilvl w:val="0"/>
                <w:numId w:val="6"/>
              </w:numPr>
              <w:rPr>
                <w:rFonts w:ascii="Arial" w:hAnsi="Arial" w:cs="Arial"/>
                <w:sz w:val="20"/>
                <w:szCs w:val="20"/>
              </w:rPr>
            </w:pPr>
            <w:proofErr w:type="spellStart"/>
            <w:r>
              <w:rPr>
                <w:rFonts w:ascii="Arial" w:hAnsi="Arial" w:cs="Arial"/>
                <w:sz w:val="20"/>
                <w:szCs w:val="20"/>
              </w:rPr>
              <w:t>Developper</w:t>
            </w:r>
            <w:proofErr w:type="spellEnd"/>
            <w:r>
              <w:rPr>
                <w:rFonts w:ascii="Arial" w:hAnsi="Arial" w:cs="Arial"/>
                <w:sz w:val="20"/>
                <w:szCs w:val="20"/>
              </w:rPr>
              <w:t xml:space="preserve"> une stratégie d’attractivité du territoire</w:t>
            </w:r>
          </w:p>
          <w:p w14:paraId="5D8819D3" w14:textId="61D91FF9" w:rsidR="008C77A6" w:rsidRPr="005F154C" w:rsidRDefault="008C77A6" w:rsidP="007755E8">
            <w:pPr>
              <w:pStyle w:val="Paragraphedeliste"/>
              <w:rPr>
                <w:rFonts w:ascii="Arial" w:hAnsi="Arial" w:cs="Arial"/>
                <w:sz w:val="20"/>
                <w:szCs w:val="20"/>
              </w:rPr>
            </w:pPr>
          </w:p>
        </w:tc>
      </w:tr>
      <w:tr w:rsidR="00354DE9" w:rsidRPr="00354DE9" w14:paraId="556C7C46" w14:textId="77777777" w:rsidTr="00EE1636">
        <w:trPr>
          <w:trHeight w:val="28"/>
          <w:jc w:val="center"/>
        </w:trPr>
        <w:tc>
          <w:tcPr>
            <w:tcW w:w="2547" w:type="dxa"/>
            <w:shd w:val="clear" w:color="auto" w:fill="FFFFFF" w:themeFill="background1"/>
            <w:vAlign w:val="center"/>
          </w:tcPr>
          <w:p w14:paraId="2A41B494" w14:textId="77777777" w:rsidR="00003907" w:rsidRPr="00354DE9" w:rsidRDefault="00354DE9" w:rsidP="00155A3B">
            <w:pPr>
              <w:rPr>
                <w:rFonts w:ascii="Arial" w:hAnsi="Arial" w:cs="Arial"/>
                <w:i/>
                <w:sz w:val="20"/>
                <w:szCs w:val="20"/>
              </w:rPr>
            </w:pPr>
            <w:r w:rsidRPr="00354DE9">
              <w:rPr>
                <w:rFonts w:ascii="Arial" w:hAnsi="Arial" w:cs="Arial"/>
                <w:b/>
                <w:sz w:val="20"/>
                <w:szCs w:val="20"/>
              </w:rPr>
              <w:t>Objectifs opérationnels</w:t>
            </w:r>
          </w:p>
        </w:tc>
        <w:tc>
          <w:tcPr>
            <w:tcW w:w="6973" w:type="dxa"/>
            <w:gridSpan w:val="4"/>
            <w:vAlign w:val="center"/>
          </w:tcPr>
          <w:p w14:paraId="34F327D1" w14:textId="23515B16" w:rsidR="00B20BBB" w:rsidRDefault="00FC6EC5" w:rsidP="005F154C">
            <w:pPr>
              <w:rPr>
                <w:rFonts w:ascii="Arial" w:hAnsi="Arial" w:cs="Arial"/>
                <w:sz w:val="20"/>
                <w:szCs w:val="20"/>
              </w:rPr>
            </w:pPr>
            <w:r>
              <w:rPr>
                <w:rFonts w:ascii="Arial" w:hAnsi="Arial" w:cs="Arial"/>
                <w:sz w:val="20"/>
                <w:szCs w:val="20"/>
              </w:rPr>
              <w:t>1</w:t>
            </w:r>
            <w:r w:rsidR="00B20BBB">
              <w:rPr>
                <w:rFonts w:ascii="Arial" w:hAnsi="Arial" w:cs="Arial"/>
                <w:sz w:val="20"/>
                <w:szCs w:val="20"/>
              </w:rPr>
              <w:t xml:space="preserve">.1 </w:t>
            </w:r>
            <w:r w:rsidR="00B20BBB" w:rsidRPr="00B20BBB">
              <w:rPr>
                <w:rFonts w:ascii="Arial" w:hAnsi="Arial" w:cs="Arial"/>
                <w:sz w:val="20"/>
                <w:szCs w:val="20"/>
              </w:rPr>
              <w:t>Promouvoir la maitrise de stage</w:t>
            </w:r>
          </w:p>
          <w:p w14:paraId="6B6A433E" w14:textId="7FCF43A6" w:rsidR="00B20BBB" w:rsidRDefault="00FC6EC5" w:rsidP="005F154C">
            <w:pPr>
              <w:rPr>
                <w:rFonts w:ascii="Arial" w:hAnsi="Arial" w:cs="Arial"/>
                <w:sz w:val="20"/>
                <w:szCs w:val="20"/>
              </w:rPr>
            </w:pPr>
            <w:r>
              <w:rPr>
                <w:rFonts w:ascii="Arial" w:hAnsi="Arial" w:cs="Arial"/>
                <w:sz w:val="20"/>
                <w:szCs w:val="20"/>
              </w:rPr>
              <w:t>1</w:t>
            </w:r>
            <w:r w:rsidR="00B20BBB">
              <w:rPr>
                <w:rFonts w:ascii="Arial" w:hAnsi="Arial" w:cs="Arial"/>
                <w:sz w:val="20"/>
                <w:szCs w:val="20"/>
              </w:rPr>
              <w:t>.2 Favoriser l’</w:t>
            </w:r>
            <w:proofErr w:type="spellStart"/>
            <w:r w:rsidR="00B20BBB">
              <w:rPr>
                <w:rFonts w:ascii="Arial" w:hAnsi="Arial" w:cs="Arial"/>
                <w:sz w:val="20"/>
                <w:szCs w:val="20"/>
              </w:rPr>
              <w:t>acceuil</w:t>
            </w:r>
            <w:proofErr w:type="spellEnd"/>
            <w:r w:rsidR="00B20BBB">
              <w:rPr>
                <w:rFonts w:ascii="Arial" w:hAnsi="Arial" w:cs="Arial"/>
                <w:sz w:val="20"/>
                <w:szCs w:val="20"/>
              </w:rPr>
              <w:t xml:space="preserve"> et l’installation des stagiaires</w:t>
            </w:r>
          </w:p>
          <w:p w14:paraId="0699601D" w14:textId="77777777" w:rsidR="00B20BBB" w:rsidRDefault="00B20BBB" w:rsidP="005F154C">
            <w:pPr>
              <w:rPr>
                <w:rFonts w:ascii="Arial" w:hAnsi="Arial" w:cs="Arial"/>
                <w:sz w:val="20"/>
                <w:szCs w:val="20"/>
              </w:rPr>
            </w:pPr>
          </w:p>
          <w:p w14:paraId="33F2BDD2" w14:textId="741E6A69" w:rsidR="00FC6EC5" w:rsidRDefault="00FC6EC5" w:rsidP="00FC6EC5">
            <w:pPr>
              <w:rPr>
                <w:rFonts w:ascii="Arial" w:hAnsi="Arial" w:cs="Arial"/>
                <w:sz w:val="20"/>
                <w:szCs w:val="20"/>
              </w:rPr>
            </w:pPr>
            <w:r>
              <w:rPr>
                <w:rFonts w:ascii="Arial" w:hAnsi="Arial" w:cs="Arial"/>
                <w:sz w:val="20"/>
                <w:szCs w:val="20"/>
              </w:rPr>
              <w:t>2.1 Réalisation d’un diagnostic territorial</w:t>
            </w:r>
          </w:p>
          <w:p w14:paraId="2158251B" w14:textId="6DBE17B3" w:rsidR="00FC6EC5" w:rsidRDefault="00FC6EC5" w:rsidP="00FC6EC5">
            <w:pPr>
              <w:rPr>
                <w:rFonts w:ascii="Arial" w:hAnsi="Arial" w:cs="Arial"/>
                <w:sz w:val="20"/>
                <w:szCs w:val="20"/>
              </w:rPr>
            </w:pPr>
            <w:r>
              <w:rPr>
                <w:rFonts w:ascii="Arial" w:hAnsi="Arial" w:cs="Arial"/>
                <w:sz w:val="20"/>
                <w:szCs w:val="20"/>
              </w:rPr>
              <w:t>2.2 élaborer une stratégie de communication</w:t>
            </w:r>
          </w:p>
          <w:p w14:paraId="71D3623C" w14:textId="74754332" w:rsidR="00B20BBB" w:rsidRPr="005F154C" w:rsidRDefault="00930C40" w:rsidP="00FC6EC5">
            <w:pPr>
              <w:rPr>
                <w:rFonts w:ascii="Arial" w:hAnsi="Arial" w:cs="Arial"/>
                <w:sz w:val="20"/>
                <w:szCs w:val="20"/>
              </w:rPr>
            </w:pPr>
            <w:r>
              <w:rPr>
                <w:rFonts w:ascii="Arial" w:hAnsi="Arial" w:cs="Arial"/>
                <w:sz w:val="20"/>
                <w:szCs w:val="20"/>
              </w:rPr>
              <w:t xml:space="preserve"> </w:t>
            </w:r>
          </w:p>
        </w:tc>
      </w:tr>
      <w:tr w:rsidR="00354DE9" w:rsidRPr="00354DE9" w14:paraId="013FACE1" w14:textId="77777777" w:rsidTr="00996C61">
        <w:trPr>
          <w:trHeight w:val="567"/>
          <w:jc w:val="center"/>
        </w:trPr>
        <w:tc>
          <w:tcPr>
            <w:tcW w:w="2547" w:type="dxa"/>
            <w:shd w:val="clear" w:color="auto" w:fill="auto"/>
            <w:vAlign w:val="center"/>
          </w:tcPr>
          <w:p w14:paraId="3DE87999" w14:textId="77777777" w:rsidR="0057104E" w:rsidRPr="00354DE9" w:rsidRDefault="0057104E" w:rsidP="00BA59FE">
            <w:pPr>
              <w:rPr>
                <w:rFonts w:ascii="Arial" w:hAnsi="Arial" w:cs="Arial"/>
                <w:b/>
                <w:sz w:val="20"/>
                <w:szCs w:val="20"/>
              </w:rPr>
            </w:pPr>
            <w:r w:rsidRPr="00354DE9">
              <w:rPr>
                <w:rFonts w:ascii="Arial" w:hAnsi="Arial" w:cs="Arial"/>
                <w:b/>
                <w:sz w:val="20"/>
                <w:szCs w:val="20"/>
              </w:rPr>
              <w:t>Etapes de mise en œuvre – Description</w:t>
            </w:r>
          </w:p>
        </w:tc>
        <w:tc>
          <w:tcPr>
            <w:tcW w:w="6973" w:type="dxa"/>
            <w:gridSpan w:val="4"/>
            <w:shd w:val="clear" w:color="auto" w:fill="auto"/>
            <w:vAlign w:val="center"/>
          </w:tcPr>
          <w:p w14:paraId="6EBCC709" w14:textId="49FF96EE" w:rsidR="00D26567" w:rsidRPr="00FC6EC5" w:rsidRDefault="00157975" w:rsidP="00FC6EC5">
            <w:pPr>
              <w:pStyle w:val="Paragraphedeliste"/>
              <w:numPr>
                <w:ilvl w:val="0"/>
                <w:numId w:val="13"/>
              </w:numPr>
              <w:spacing w:after="200" w:line="276" w:lineRule="auto"/>
              <w:jc w:val="both"/>
              <w:rPr>
                <w:rFonts w:ascii="Arial" w:hAnsi="Arial" w:cs="Arial"/>
                <w:b/>
                <w:sz w:val="20"/>
                <w:szCs w:val="20"/>
              </w:rPr>
            </w:pPr>
            <w:r w:rsidRPr="00FC6EC5">
              <w:rPr>
                <w:rFonts w:ascii="Arial" w:hAnsi="Arial" w:cs="Arial"/>
                <w:b/>
                <w:sz w:val="20"/>
                <w:szCs w:val="20"/>
              </w:rPr>
              <w:t>Favoriser la venue de stagiaire en santé dans le cadre d’une stratégie territorial concertée de promotion des métiers</w:t>
            </w:r>
          </w:p>
          <w:p w14:paraId="42AFACCD" w14:textId="4345FB0C" w:rsidR="00B5272C" w:rsidRDefault="00A8116A" w:rsidP="00810FDC">
            <w:pPr>
              <w:contextualSpacing/>
              <w:jc w:val="both"/>
              <w:rPr>
                <w:rFonts w:cstheme="minorHAnsi"/>
                <w:bCs/>
              </w:rPr>
            </w:pPr>
            <w:r>
              <w:rPr>
                <w:rFonts w:cstheme="minorHAnsi"/>
                <w:bCs/>
              </w:rPr>
              <w:t>P</w:t>
            </w:r>
            <w:r w:rsidR="00B5272C">
              <w:rPr>
                <w:rFonts w:cstheme="minorHAnsi"/>
                <w:bCs/>
              </w:rPr>
              <w:t>romouvoir la maitrise de stage (MSU) pour les médecins en exercice et faciliter l’accueil de stagiaire</w:t>
            </w:r>
            <w:r>
              <w:rPr>
                <w:rFonts w:cstheme="minorHAnsi"/>
                <w:bCs/>
              </w:rPr>
              <w:t xml:space="preserve"> en partenariat avec les CPTS, l’ARS, la CPAM, la Région Grand Est et la MSA.</w:t>
            </w:r>
          </w:p>
          <w:p w14:paraId="768A9E19" w14:textId="77777777" w:rsidR="00810FDC" w:rsidRPr="002F373E" w:rsidRDefault="00810FDC" w:rsidP="00810FDC">
            <w:pPr>
              <w:contextualSpacing/>
              <w:jc w:val="both"/>
              <w:rPr>
                <w:rFonts w:cstheme="minorHAnsi"/>
                <w:bCs/>
              </w:rPr>
            </w:pPr>
          </w:p>
          <w:p w14:paraId="3CBBA269" w14:textId="26C92236" w:rsidR="0085174A" w:rsidRPr="002F373E" w:rsidRDefault="0042682E" w:rsidP="00810FDC">
            <w:pPr>
              <w:contextualSpacing/>
              <w:jc w:val="both"/>
              <w:rPr>
                <w:rFonts w:cstheme="minorHAnsi"/>
                <w:b/>
              </w:rPr>
            </w:pPr>
            <w:r>
              <w:rPr>
                <w:rFonts w:cstheme="minorHAnsi"/>
              </w:rPr>
              <w:t>Favoriser</w:t>
            </w:r>
            <w:r w:rsidR="0085174A" w:rsidRPr="00144008">
              <w:rPr>
                <w:rFonts w:cstheme="minorHAnsi"/>
              </w:rPr>
              <w:t xml:space="preserve"> </w:t>
            </w:r>
            <w:r w:rsidR="00B5272C">
              <w:rPr>
                <w:rFonts w:cstheme="minorHAnsi"/>
              </w:rPr>
              <w:t xml:space="preserve">la participation </w:t>
            </w:r>
            <w:r>
              <w:rPr>
                <w:rFonts w:cstheme="minorHAnsi"/>
              </w:rPr>
              <w:t>des acteurs</w:t>
            </w:r>
            <w:r w:rsidR="00D26567">
              <w:rPr>
                <w:rFonts w:cstheme="minorHAnsi"/>
              </w:rPr>
              <w:t xml:space="preserve"> médicaux et paramédicaux</w:t>
            </w:r>
            <w:r>
              <w:rPr>
                <w:rFonts w:cstheme="minorHAnsi"/>
              </w:rPr>
              <w:t xml:space="preserve"> aux </w:t>
            </w:r>
            <w:r w:rsidR="0085174A" w:rsidRPr="00144008">
              <w:rPr>
                <w:rFonts w:cstheme="minorHAnsi"/>
              </w:rPr>
              <w:t>évènements de promotion des métiers (Forum, France Travail, Mission locale, lieux d’aller vers pour le public)</w:t>
            </w:r>
            <w:r>
              <w:rPr>
                <w:rFonts w:cstheme="minorHAnsi"/>
              </w:rPr>
              <w:t xml:space="preserve"> afin de faire connaitre l’offre et la rendre lisible p</w:t>
            </w:r>
            <w:r w:rsidR="002C77A6">
              <w:rPr>
                <w:rFonts w:cstheme="minorHAnsi"/>
              </w:rPr>
              <w:t>ou</w:t>
            </w:r>
            <w:r>
              <w:rPr>
                <w:rFonts w:cstheme="minorHAnsi"/>
              </w:rPr>
              <w:t>r les scolaires, les jeunes en insertion, les personnes en reconversion</w:t>
            </w:r>
            <w:r w:rsidR="004427C2">
              <w:rPr>
                <w:rFonts w:cstheme="minorHAnsi"/>
              </w:rPr>
              <w:t>.</w:t>
            </w:r>
          </w:p>
          <w:p w14:paraId="74F21C5C" w14:textId="1EEA3F46" w:rsidR="00810FDC" w:rsidRDefault="00810FDC" w:rsidP="00810FDC">
            <w:pPr>
              <w:contextualSpacing/>
              <w:jc w:val="both"/>
              <w:rPr>
                <w:rFonts w:cstheme="minorHAnsi"/>
              </w:rPr>
            </w:pPr>
          </w:p>
          <w:p w14:paraId="1B8A273D" w14:textId="53F593EE" w:rsidR="00930C40" w:rsidRDefault="00930C40" w:rsidP="00810FDC">
            <w:pPr>
              <w:contextualSpacing/>
              <w:jc w:val="both"/>
              <w:rPr>
                <w:rFonts w:cstheme="minorHAnsi"/>
              </w:rPr>
            </w:pPr>
            <w:r>
              <w:rPr>
                <w:rFonts w:cstheme="minorHAnsi"/>
              </w:rPr>
              <w:t xml:space="preserve">Collaborer avec le dispositif </w:t>
            </w:r>
            <w:proofErr w:type="spellStart"/>
            <w:r>
              <w:rPr>
                <w:rFonts w:cstheme="minorHAnsi"/>
              </w:rPr>
              <w:t>GEminstalle</w:t>
            </w:r>
            <w:proofErr w:type="spellEnd"/>
            <w:r>
              <w:rPr>
                <w:rFonts w:cstheme="minorHAnsi"/>
              </w:rPr>
              <w:t xml:space="preserve"> </w:t>
            </w:r>
            <w:r w:rsidR="00C02391">
              <w:rPr>
                <w:rFonts w:cstheme="minorHAnsi"/>
              </w:rPr>
              <w:t>pour appuyer l’installation et la diffusion des informations (aide à l’</w:t>
            </w:r>
            <w:proofErr w:type="spellStart"/>
            <w:r w:rsidR="00C02391">
              <w:rPr>
                <w:rFonts w:cstheme="minorHAnsi"/>
              </w:rPr>
              <w:t>intsallation</w:t>
            </w:r>
            <w:proofErr w:type="spellEnd"/>
            <w:r w:rsidR="00C02391">
              <w:rPr>
                <w:rFonts w:cstheme="minorHAnsi"/>
              </w:rPr>
              <w:t>, présence de logement) auprès des internes.</w:t>
            </w:r>
          </w:p>
          <w:p w14:paraId="3C1C973E" w14:textId="77777777" w:rsidR="0037759A" w:rsidRDefault="0037759A" w:rsidP="0085174A">
            <w:pPr>
              <w:contextualSpacing/>
              <w:rPr>
                <w:rFonts w:cstheme="minorHAnsi"/>
              </w:rPr>
            </w:pPr>
          </w:p>
          <w:p w14:paraId="2FE2EFEE" w14:textId="4526250D" w:rsidR="00E4698A" w:rsidRPr="00D32FEA" w:rsidRDefault="00E4698A" w:rsidP="00157975">
            <w:pPr>
              <w:pStyle w:val="Paragraphedeliste"/>
              <w:numPr>
                <w:ilvl w:val="0"/>
                <w:numId w:val="13"/>
              </w:numPr>
              <w:rPr>
                <w:rFonts w:ascii="Arial" w:hAnsi="Arial" w:cs="Arial"/>
                <w:b/>
                <w:sz w:val="20"/>
                <w:szCs w:val="20"/>
              </w:rPr>
            </w:pPr>
            <w:proofErr w:type="spellStart"/>
            <w:r w:rsidRPr="00D32FEA">
              <w:rPr>
                <w:rFonts w:ascii="Arial" w:hAnsi="Arial" w:cs="Arial"/>
                <w:b/>
                <w:sz w:val="20"/>
                <w:szCs w:val="20"/>
              </w:rPr>
              <w:t>Developper</w:t>
            </w:r>
            <w:proofErr w:type="spellEnd"/>
            <w:r w:rsidRPr="00D32FEA">
              <w:rPr>
                <w:rFonts w:ascii="Arial" w:hAnsi="Arial" w:cs="Arial"/>
                <w:b/>
                <w:sz w:val="20"/>
                <w:szCs w:val="20"/>
              </w:rPr>
              <w:t xml:space="preserve"> une stratégie d’attractivité du territoire</w:t>
            </w:r>
            <w:r w:rsidR="00A066C1">
              <w:rPr>
                <w:rFonts w:ascii="Arial" w:hAnsi="Arial" w:cs="Arial"/>
                <w:b/>
                <w:sz w:val="20"/>
                <w:szCs w:val="20"/>
              </w:rPr>
              <w:t xml:space="preserve"> prioritairement pour les jeunes médecins</w:t>
            </w:r>
          </w:p>
          <w:p w14:paraId="301B3F19" w14:textId="77777777" w:rsidR="0037759A" w:rsidRDefault="0037759A" w:rsidP="0037759A">
            <w:pPr>
              <w:jc w:val="both"/>
              <w:rPr>
                <w:b/>
              </w:rPr>
            </w:pPr>
          </w:p>
          <w:p w14:paraId="2050806B" w14:textId="18F2F5DB" w:rsidR="00E4698A" w:rsidRPr="00A066C1" w:rsidRDefault="007755E8" w:rsidP="0037759A">
            <w:pPr>
              <w:jc w:val="both"/>
              <w:rPr>
                <w:bCs/>
              </w:rPr>
            </w:pPr>
            <w:r>
              <w:rPr>
                <w:bCs/>
              </w:rPr>
              <w:t>C</w:t>
            </w:r>
            <w:r w:rsidR="00E4698A" w:rsidRPr="00A066C1">
              <w:rPr>
                <w:bCs/>
              </w:rPr>
              <w:t>réation d</w:t>
            </w:r>
            <w:r w:rsidR="002F373E" w:rsidRPr="00A066C1">
              <w:rPr>
                <w:bCs/>
              </w:rPr>
              <w:t>’un</w:t>
            </w:r>
            <w:r w:rsidR="00E4698A" w:rsidRPr="00A066C1">
              <w:rPr>
                <w:bCs/>
              </w:rPr>
              <w:t xml:space="preserve"> comité</w:t>
            </w:r>
            <w:r w:rsidR="002F373E" w:rsidRPr="00A066C1">
              <w:rPr>
                <w:bCs/>
              </w:rPr>
              <w:t xml:space="preserve"> stratégique réunissant différents membres (ARS ; CPAM, </w:t>
            </w:r>
            <w:proofErr w:type="spellStart"/>
            <w:r w:rsidR="002F373E" w:rsidRPr="00A066C1">
              <w:rPr>
                <w:bCs/>
              </w:rPr>
              <w:t>CeA</w:t>
            </w:r>
            <w:proofErr w:type="spellEnd"/>
            <w:r w:rsidR="002F373E" w:rsidRPr="00A066C1">
              <w:rPr>
                <w:bCs/>
              </w:rPr>
              <w:t>, CPTS, CLS…)</w:t>
            </w:r>
            <w:r w:rsidR="008C77A6" w:rsidRPr="00A066C1">
              <w:rPr>
                <w:bCs/>
              </w:rPr>
              <w:t xml:space="preserve"> pour de mettre en place une stratégie d’attractivité du territoire concertée pour attirer de nouveaux médecins.</w:t>
            </w:r>
          </w:p>
          <w:p w14:paraId="6DC6CEAE" w14:textId="77777777" w:rsidR="007755E8" w:rsidRDefault="007755E8" w:rsidP="0037759A">
            <w:pPr>
              <w:jc w:val="both"/>
              <w:rPr>
                <w:bCs/>
              </w:rPr>
            </w:pPr>
          </w:p>
          <w:p w14:paraId="0A17E69D" w14:textId="6C4610BC" w:rsidR="00E4698A" w:rsidRDefault="007755E8" w:rsidP="0037759A">
            <w:pPr>
              <w:jc w:val="both"/>
              <w:rPr>
                <w:bCs/>
              </w:rPr>
            </w:pPr>
            <w:r>
              <w:rPr>
                <w:bCs/>
              </w:rPr>
              <w:t>D</w:t>
            </w:r>
            <w:r w:rsidR="00E4698A" w:rsidRPr="00A066C1">
              <w:rPr>
                <w:bCs/>
              </w:rPr>
              <w:t xml:space="preserve">éfinir une stratégie de communication et les </w:t>
            </w:r>
            <w:proofErr w:type="gramStart"/>
            <w:r w:rsidR="00E4698A" w:rsidRPr="00A066C1">
              <w:rPr>
                <w:bCs/>
              </w:rPr>
              <w:t>outils </w:t>
            </w:r>
            <w:r w:rsidR="008C77A6" w:rsidRPr="00A066C1">
              <w:rPr>
                <w:bCs/>
              </w:rPr>
              <w:t xml:space="preserve"> pour</w:t>
            </w:r>
            <w:proofErr w:type="gramEnd"/>
            <w:r w:rsidR="008C77A6" w:rsidRPr="00A066C1">
              <w:rPr>
                <w:bCs/>
              </w:rPr>
              <w:t xml:space="preserve"> valoriser le territoire</w:t>
            </w:r>
            <w:r w:rsidR="00E4698A" w:rsidRPr="00A066C1">
              <w:rPr>
                <w:bCs/>
              </w:rPr>
              <w:t>; trouver des leviers pour l’attractivité de l’offre de stage</w:t>
            </w:r>
            <w:r w:rsidR="008C77A6" w:rsidRPr="00A066C1">
              <w:rPr>
                <w:bCs/>
              </w:rPr>
              <w:t>. (</w:t>
            </w:r>
            <w:proofErr w:type="gramStart"/>
            <w:r w:rsidR="008C77A6" w:rsidRPr="00A066C1">
              <w:rPr>
                <w:bCs/>
              </w:rPr>
              <w:t>plaquette</w:t>
            </w:r>
            <w:proofErr w:type="gramEnd"/>
            <w:r w:rsidR="008C77A6" w:rsidRPr="00A066C1">
              <w:rPr>
                <w:bCs/>
              </w:rPr>
              <w:t>, participation à des forums, moments de convivialité entre étudiants et professionnels…)</w:t>
            </w:r>
          </w:p>
          <w:p w14:paraId="56FCF4B5" w14:textId="77777777" w:rsidR="007755E8" w:rsidRPr="00A066C1" w:rsidRDefault="007755E8" w:rsidP="0037759A">
            <w:pPr>
              <w:jc w:val="both"/>
              <w:rPr>
                <w:bCs/>
              </w:rPr>
            </w:pPr>
          </w:p>
          <w:p w14:paraId="0517E883" w14:textId="20DC9E6A" w:rsidR="00E4698A" w:rsidRPr="00E4698A" w:rsidRDefault="007755E8" w:rsidP="007755E8">
            <w:pPr>
              <w:jc w:val="both"/>
              <w:rPr>
                <w:rFonts w:ascii="Arial" w:hAnsi="Arial" w:cs="Arial"/>
                <w:sz w:val="20"/>
                <w:szCs w:val="20"/>
              </w:rPr>
            </w:pPr>
            <w:r>
              <w:t xml:space="preserve">Mettre en avant </w:t>
            </w:r>
            <w:proofErr w:type="gramStart"/>
            <w:r>
              <w:t>la dynamique territorial</w:t>
            </w:r>
            <w:proofErr w:type="gramEnd"/>
            <w:r>
              <w:t xml:space="preserve"> de santé existante promouvoir la présence des </w:t>
            </w:r>
            <w:r w:rsidR="008C77A6">
              <w:t>exercice</w:t>
            </w:r>
            <w:r>
              <w:t>s</w:t>
            </w:r>
            <w:r w:rsidR="008C77A6">
              <w:t xml:space="preserve"> de soins coordonnées (ESP, MSP, CPTS…)</w:t>
            </w:r>
            <w:r>
              <w:t>.</w:t>
            </w:r>
          </w:p>
        </w:tc>
      </w:tr>
      <w:tr w:rsidR="005C4530" w:rsidRPr="00354DE9" w14:paraId="0809BB38" w14:textId="77777777" w:rsidTr="00996C61">
        <w:trPr>
          <w:trHeight w:val="285"/>
          <w:jc w:val="center"/>
        </w:trPr>
        <w:tc>
          <w:tcPr>
            <w:tcW w:w="2547" w:type="dxa"/>
            <w:shd w:val="clear" w:color="auto" w:fill="auto"/>
            <w:vAlign w:val="center"/>
          </w:tcPr>
          <w:p w14:paraId="02D7EB90" w14:textId="77777777" w:rsidR="005C4530" w:rsidRPr="00354DE9" w:rsidRDefault="005C4530" w:rsidP="00562D16">
            <w:pPr>
              <w:rPr>
                <w:rFonts w:ascii="Arial" w:hAnsi="Arial" w:cs="Arial"/>
                <w:b/>
                <w:sz w:val="20"/>
                <w:szCs w:val="20"/>
              </w:rPr>
            </w:pPr>
            <w:r>
              <w:rPr>
                <w:rFonts w:ascii="Arial" w:hAnsi="Arial" w:cs="Arial"/>
                <w:b/>
                <w:sz w:val="20"/>
                <w:szCs w:val="20"/>
              </w:rPr>
              <w:t>Durée de l’action</w:t>
            </w:r>
          </w:p>
        </w:tc>
        <w:tc>
          <w:tcPr>
            <w:tcW w:w="6973" w:type="dxa"/>
            <w:gridSpan w:val="4"/>
            <w:tcBorders>
              <w:bottom w:val="single" w:sz="4" w:space="0" w:color="auto"/>
            </w:tcBorders>
            <w:shd w:val="clear" w:color="auto" w:fill="auto"/>
            <w:vAlign w:val="center"/>
          </w:tcPr>
          <w:p w14:paraId="3074B327" w14:textId="4D945141" w:rsidR="005C4530" w:rsidRPr="00354DE9" w:rsidRDefault="005C4530" w:rsidP="008B1140">
            <w:pPr>
              <w:rPr>
                <w:rFonts w:ascii="Arial" w:hAnsi="Arial" w:cs="Arial"/>
                <w:sz w:val="20"/>
                <w:szCs w:val="20"/>
              </w:rPr>
            </w:pPr>
            <w:r>
              <w:rPr>
                <w:rFonts w:ascii="Arial" w:hAnsi="Arial" w:cs="Arial"/>
                <w:sz w:val="20"/>
                <w:szCs w:val="20"/>
              </w:rPr>
              <w:t>Annuelle</w:t>
            </w:r>
            <w:r w:rsidR="00454C16">
              <w:rPr>
                <w:rFonts w:ascii="Arial" w:hAnsi="Arial" w:cs="Arial"/>
                <w:sz w:val="20"/>
                <w:szCs w:val="20"/>
              </w:rPr>
              <w:t> </w:t>
            </w:r>
            <w:r w:rsidR="00454C16" w:rsidRPr="00635DD5">
              <w:rPr>
                <w:rFonts w:ascii="Arial" w:hAnsi="Arial" w:cs="Arial"/>
                <w:sz w:val="20"/>
                <w:szCs w:val="20"/>
              </w:rPr>
              <w:t>:</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E1C6D">
              <w:rPr>
                <w:rFonts w:ascii="Arial" w:hAnsi="Arial" w:cs="Arial"/>
                <w:sz w:val="20"/>
                <w:szCs w:val="20"/>
              </w:rPr>
              <w:fldChar w:fldCharType="begin">
                <w:ffData>
                  <w:name w:val=""/>
                  <w:enabled/>
                  <w:calcOnExit w:val="0"/>
                  <w:checkBox>
                    <w:sizeAuto/>
                    <w:default w:val="1"/>
                  </w:checkBox>
                </w:ffData>
              </w:fldChar>
            </w:r>
            <w:r w:rsidR="004E1C6D">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004E1C6D">
              <w:rPr>
                <w:rFonts w:ascii="Arial" w:hAnsi="Arial" w:cs="Arial"/>
                <w:sz w:val="20"/>
                <w:szCs w:val="20"/>
              </w:rPr>
              <w:fldChar w:fldCharType="end"/>
            </w:r>
            <w:r w:rsidRPr="00635DD5">
              <w:rPr>
                <w:rFonts w:ascii="Arial" w:hAnsi="Arial" w:cs="Arial"/>
                <w:sz w:val="20"/>
                <w:szCs w:val="20"/>
              </w:rPr>
              <w:t xml:space="preserve">  Pluriannuelle</w:t>
            </w:r>
            <w:r>
              <w:rPr>
                <w:rFonts w:ascii="Arial" w:hAnsi="Arial" w:cs="Arial"/>
                <w:sz w:val="20"/>
                <w:szCs w:val="20"/>
              </w:rPr>
              <w:t>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B30CB5">
              <w:rPr>
                <w:rFonts w:ascii="Arial" w:hAnsi="Arial" w:cs="Arial"/>
                <w:sz w:val="20"/>
                <w:szCs w:val="20"/>
              </w:rPr>
              <w:t xml:space="preserve">           </w:t>
            </w:r>
            <w:r w:rsidR="004E1C6D">
              <w:rPr>
                <w:rFonts w:ascii="Arial" w:hAnsi="Arial" w:cs="Arial"/>
                <w:sz w:val="20"/>
                <w:szCs w:val="20"/>
              </w:rPr>
              <w:t>2025</w:t>
            </w:r>
            <w:r w:rsidR="00B30CB5">
              <w:rPr>
                <w:rFonts w:ascii="Arial" w:hAnsi="Arial" w:cs="Arial"/>
                <w:sz w:val="20"/>
                <w:szCs w:val="20"/>
              </w:rPr>
              <w:t xml:space="preserve">                   </w:t>
            </w:r>
            <w:r>
              <w:rPr>
                <w:rFonts w:ascii="Arial" w:hAnsi="Arial" w:cs="Arial"/>
                <w:sz w:val="20"/>
                <w:szCs w:val="20"/>
              </w:rPr>
              <w:t xml:space="preserve"> Fin : </w:t>
            </w:r>
            <w:r w:rsidR="004E1C6D">
              <w:rPr>
                <w:rFonts w:ascii="Arial" w:hAnsi="Arial" w:cs="Arial"/>
                <w:sz w:val="20"/>
                <w:szCs w:val="20"/>
              </w:rPr>
              <w:t>2029</w:t>
            </w:r>
          </w:p>
        </w:tc>
      </w:tr>
      <w:tr w:rsidR="00354DE9" w:rsidRPr="00354DE9" w14:paraId="0E67AA3A" w14:textId="77777777" w:rsidTr="00996C61">
        <w:trPr>
          <w:trHeight w:val="285"/>
          <w:jc w:val="center"/>
        </w:trPr>
        <w:tc>
          <w:tcPr>
            <w:tcW w:w="2547" w:type="dxa"/>
            <w:shd w:val="clear" w:color="auto" w:fill="auto"/>
            <w:vAlign w:val="center"/>
          </w:tcPr>
          <w:p w14:paraId="78600894" w14:textId="77777777"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shd w:val="clear" w:color="auto" w:fill="auto"/>
            <w:vAlign w:val="center"/>
          </w:tcPr>
          <w:p w14:paraId="173604ED" w14:textId="6727C4E8" w:rsidR="005843B6" w:rsidRPr="004E1C6D" w:rsidRDefault="004E1C6D" w:rsidP="004E1C6D">
            <w:pPr>
              <w:jc w:val="both"/>
            </w:pPr>
            <w:proofErr w:type="spellStart"/>
            <w:r>
              <w:t>CeA</w:t>
            </w:r>
            <w:proofErr w:type="spellEnd"/>
            <w:r>
              <w:t>, IFSI/IFA</w:t>
            </w:r>
            <w:r w:rsidR="00E6218E">
              <w:t>S</w:t>
            </w:r>
            <w:r>
              <w:t xml:space="preserve"> Saverne et hôpital d</w:t>
            </w:r>
            <w:r w:rsidR="001B0629">
              <w:t xml:space="preserve">u </w:t>
            </w:r>
            <w:proofErr w:type="spellStart"/>
            <w:r w:rsidR="001B0629">
              <w:t>Neuenberg</w:t>
            </w:r>
            <w:proofErr w:type="spellEnd"/>
            <w:r>
              <w:t>, Mission Locale, France Travail, Structures d’insertion, Région</w:t>
            </w:r>
            <w:r w:rsidR="00892A3E">
              <w:t xml:space="preserve">, exercices de soins coordonnés, CPAM, MSA, </w:t>
            </w:r>
            <w:proofErr w:type="spellStart"/>
            <w:r w:rsidR="00892A3E">
              <w:t>GEminstalle</w:t>
            </w:r>
            <w:proofErr w:type="spellEnd"/>
            <w:r w:rsidR="00892A3E">
              <w:t xml:space="preserve"> </w:t>
            </w:r>
          </w:p>
        </w:tc>
      </w:tr>
      <w:tr w:rsidR="0046751A" w:rsidRPr="00354DE9" w14:paraId="77EDD847" w14:textId="77777777" w:rsidTr="00996C61">
        <w:trPr>
          <w:jc w:val="center"/>
        </w:trPr>
        <w:tc>
          <w:tcPr>
            <w:tcW w:w="2547" w:type="dxa"/>
            <w:shd w:val="clear" w:color="auto" w:fill="auto"/>
            <w:vAlign w:val="center"/>
          </w:tcPr>
          <w:p w14:paraId="39FA3A67" w14:textId="77777777" w:rsidR="0046751A" w:rsidRPr="00354DE9" w:rsidRDefault="0046751A" w:rsidP="00BA59FE">
            <w:pPr>
              <w:rPr>
                <w:rFonts w:ascii="Arial" w:hAnsi="Arial" w:cs="Arial"/>
                <w:b/>
                <w:sz w:val="20"/>
                <w:szCs w:val="20"/>
              </w:rPr>
            </w:pPr>
            <w:r w:rsidRPr="00354DE9">
              <w:rPr>
                <w:rFonts w:ascii="Arial" w:hAnsi="Arial" w:cs="Arial"/>
                <w:b/>
                <w:sz w:val="20"/>
                <w:szCs w:val="20"/>
              </w:rPr>
              <w:t>Public visé</w:t>
            </w:r>
          </w:p>
        </w:tc>
        <w:tc>
          <w:tcPr>
            <w:tcW w:w="3486" w:type="dxa"/>
            <w:gridSpan w:val="3"/>
            <w:shd w:val="clear" w:color="auto" w:fill="auto"/>
            <w:vAlign w:val="center"/>
          </w:tcPr>
          <w:p w14:paraId="4F9F5842" w14:textId="77777777" w:rsidR="00AC64C8"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AC64C8" w:rsidRPr="00EA7DFE">
              <w:rPr>
                <w:rFonts w:ascii="Arial" w:eastAsia="Times New Roman" w:hAnsi="Arial" w:cs="Arial"/>
                <w:sz w:val="20"/>
                <w:szCs w:val="20"/>
                <w:lang w:eastAsia="fr-FR"/>
              </w:rPr>
              <w:t>Jeunes enfants (0 à 6 ans)</w:t>
            </w:r>
          </w:p>
          <w:p w14:paraId="2F09C9D3"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 xml:space="preserve">Enfants (7 à 11 ans) </w:t>
            </w:r>
          </w:p>
          <w:p w14:paraId="25906212"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Adolescents (12 à 15 ans)</w:t>
            </w:r>
          </w:p>
          <w:p w14:paraId="2F0F0BC8" w14:textId="77777777" w:rsidR="0046751A" w:rsidRPr="00EA7DFE" w:rsidRDefault="0085174A"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Jeunes Adultes (16 à 25 ans)</w:t>
            </w:r>
            <w:r w:rsidR="0046751A" w:rsidRPr="00EA7DFE">
              <w:rPr>
                <w:rFonts w:ascii="Arial" w:eastAsia="Times New Roman" w:hAnsi="Arial" w:cs="Arial"/>
                <w:sz w:val="20"/>
                <w:szCs w:val="20"/>
                <w:lang w:eastAsia="fr-FR"/>
              </w:rPr>
              <w:tab/>
            </w:r>
          </w:p>
          <w:p w14:paraId="6F43B6D1" w14:textId="77777777" w:rsidR="0046751A" w:rsidRPr="00EA7DFE" w:rsidRDefault="0046751A" w:rsidP="00BA59FE">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EA7DFE">
              <w:rPr>
                <w:rFonts w:ascii="Arial" w:hAnsi="Arial" w:cs="Arial"/>
                <w:sz w:val="20"/>
                <w:szCs w:val="20"/>
              </w:rPr>
              <w:fldChar w:fldCharType="end"/>
            </w:r>
            <w:r w:rsidRPr="00EA7DFE">
              <w:rPr>
                <w:rFonts w:ascii="Arial" w:hAnsi="Arial" w:cs="Arial"/>
                <w:sz w:val="20"/>
                <w:szCs w:val="20"/>
              </w:rPr>
              <w:t xml:space="preserve"> </w:t>
            </w:r>
            <w:r w:rsidRPr="00EA7DFE">
              <w:rPr>
                <w:rFonts w:ascii="Arial" w:eastAsia="Times New Roman" w:hAnsi="Arial" w:cs="Arial"/>
                <w:sz w:val="20"/>
                <w:szCs w:val="20"/>
                <w:lang w:eastAsia="fr-FR"/>
              </w:rPr>
              <w:t>Adultes (26 à 65 ans)</w:t>
            </w:r>
          </w:p>
          <w:p w14:paraId="13C974DA"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Personnes âgées (&gt;65 ans)</w:t>
            </w:r>
          </w:p>
          <w:p w14:paraId="32948BAA"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b/>
                <w:sz w:val="20"/>
                <w:szCs w:val="20"/>
                <w:lang w:eastAsia="fr-FR"/>
              </w:rPr>
              <w:t>Professionnels*</w:t>
            </w:r>
          </w:p>
          <w:p w14:paraId="07BEC2A4" w14:textId="77777777" w:rsidR="0046751A" w:rsidRPr="00EA7DFE" w:rsidRDefault="0085174A" w:rsidP="00F47D59">
            <w:pPr>
              <w:tabs>
                <w:tab w:val="left" w:pos="3123"/>
              </w:tabs>
              <w:rPr>
                <w:rFonts w:ascii="Arial" w:eastAsia="Times New Roman" w:hAnsi="Arial" w:cs="Arial"/>
                <w:sz w:val="20"/>
                <w:szCs w:val="20"/>
                <w:lang w:eastAsia="fr-FR"/>
              </w:rPr>
            </w:pPr>
            <w:r>
              <w:rPr>
                <w:rFonts w:ascii="Arial" w:hAnsi="Arial" w:cs="Arial"/>
                <w:sz w:val="20"/>
                <w:szCs w:val="20"/>
              </w:rPr>
              <w:lastRenderedPageBreak/>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EA7DFE">
              <w:rPr>
                <w:rFonts w:ascii="Arial" w:eastAsia="Times New Roman" w:hAnsi="Arial" w:cs="Arial"/>
                <w:sz w:val="20"/>
                <w:szCs w:val="20"/>
                <w:lang w:eastAsia="fr-FR"/>
              </w:rPr>
              <w:t xml:space="preserve">Autre (Précisez) : </w:t>
            </w:r>
            <w:r>
              <w:rPr>
                <w:rFonts w:ascii="Arial" w:eastAsia="Times New Roman" w:hAnsi="Arial" w:cs="Arial"/>
                <w:sz w:val="20"/>
                <w:szCs w:val="20"/>
                <w:lang w:eastAsia="fr-FR"/>
              </w:rPr>
              <w:t>personne en reconversion</w:t>
            </w:r>
            <w:r w:rsidR="00C00B27">
              <w:rPr>
                <w:rFonts w:ascii="Arial" w:eastAsia="Times New Roman" w:hAnsi="Arial" w:cs="Arial"/>
                <w:sz w:val="20"/>
                <w:szCs w:val="20"/>
                <w:lang w:eastAsia="fr-FR"/>
              </w:rPr>
              <w:t xml:space="preserve"> et étudiants</w:t>
            </w:r>
          </w:p>
        </w:tc>
        <w:tc>
          <w:tcPr>
            <w:tcW w:w="3487" w:type="dxa"/>
            <w:shd w:val="clear" w:color="auto" w:fill="auto"/>
            <w:vAlign w:val="center"/>
          </w:tcPr>
          <w:p w14:paraId="3C3DC4CD" w14:textId="77777777" w:rsidR="0046751A" w:rsidRDefault="00AC64C8" w:rsidP="00BA59FE">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lastRenderedPageBreak/>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14:paraId="28B3C14B"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Médical</w:t>
            </w:r>
          </w:p>
          <w:p w14:paraId="130B2567" w14:textId="77777777"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Paramédical</w:t>
            </w:r>
          </w:p>
          <w:p w14:paraId="2DA69B03" w14:textId="77777777" w:rsidR="008D747C"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8D747C">
              <w:rPr>
                <w:rFonts w:ascii="Arial" w:hAnsi="Arial" w:cs="Arial"/>
                <w:sz w:val="20"/>
                <w:szCs w:val="20"/>
              </w:rPr>
              <w:t xml:space="preserve"> Médico-social</w:t>
            </w:r>
          </w:p>
          <w:p w14:paraId="6B959D93" w14:textId="77777777"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Social</w:t>
            </w:r>
          </w:p>
          <w:p w14:paraId="65CB0849" w14:textId="77777777" w:rsidR="0046751A" w:rsidRDefault="00B30CB5"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prévention et de la promotion de la santé</w:t>
            </w:r>
            <w:r w:rsidR="0046751A" w:rsidRPr="00354DE9">
              <w:rPr>
                <w:rFonts w:ascii="Arial" w:hAnsi="Arial" w:cs="Arial"/>
                <w:sz w:val="20"/>
                <w:szCs w:val="20"/>
              </w:rPr>
              <w:t xml:space="preserve"> </w:t>
            </w:r>
          </w:p>
          <w:p w14:paraId="3909CA56"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l’éducation/la formation</w:t>
            </w:r>
          </w:p>
          <w:p w14:paraId="47A41BB6"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lastRenderedPageBreak/>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culture/Loisirs</w:t>
            </w:r>
          </w:p>
          <w:p w14:paraId="7DC7E01E" w14:textId="77777777" w:rsidR="0046751A" w:rsidRPr="00354DE9" w:rsidRDefault="0046751A"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r>
      <w:tr w:rsidR="00354DE9" w:rsidRPr="00354DE9" w14:paraId="726F4499" w14:textId="77777777" w:rsidTr="00C55AAD">
        <w:trPr>
          <w:trHeight w:val="346"/>
          <w:jc w:val="center"/>
        </w:trPr>
        <w:tc>
          <w:tcPr>
            <w:tcW w:w="2547" w:type="dxa"/>
            <w:shd w:val="clear" w:color="auto" w:fill="FFFFFF" w:themeFill="background1"/>
            <w:vAlign w:val="center"/>
          </w:tcPr>
          <w:p w14:paraId="7A8F25E2" w14:textId="77777777" w:rsidR="008E2932" w:rsidRPr="00354DE9" w:rsidRDefault="008E2932" w:rsidP="00354DE9">
            <w:pPr>
              <w:rPr>
                <w:rFonts w:ascii="Arial" w:hAnsi="Arial" w:cs="Arial"/>
                <w:b/>
                <w:sz w:val="20"/>
                <w:szCs w:val="20"/>
              </w:rPr>
            </w:pPr>
            <w:r w:rsidRPr="00354DE9">
              <w:rPr>
                <w:rFonts w:ascii="Arial" w:hAnsi="Arial" w:cs="Arial"/>
                <w:b/>
                <w:sz w:val="20"/>
                <w:szCs w:val="20"/>
              </w:rPr>
              <w:lastRenderedPageBreak/>
              <w:t xml:space="preserve">Territoire </w:t>
            </w:r>
            <w:r w:rsidR="00354DE9" w:rsidRPr="00354DE9">
              <w:rPr>
                <w:rFonts w:ascii="Arial" w:hAnsi="Arial" w:cs="Arial"/>
                <w:b/>
                <w:sz w:val="20"/>
                <w:szCs w:val="20"/>
              </w:rPr>
              <w:t>d’intervention</w:t>
            </w:r>
          </w:p>
        </w:tc>
        <w:tc>
          <w:tcPr>
            <w:tcW w:w="6973" w:type="dxa"/>
            <w:gridSpan w:val="4"/>
            <w:vAlign w:val="center"/>
          </w:tcPr>
          <w:p w14:paraId="60AD4650" w14:textId="77777777" w:rsidR="008E2932" w:rsidRPr="00C41F58" w:rsidRDefault="00A44738" w:rsidP="00C41F58">
            <w:pPr>
              <w:rPr>
                <w:rFonts w:ascii="Arial" w:hAnsi="Arial" w:cs="Arial"/>
                <w:szCs w:val="20"/>
              </w:rPr>
            </w:pPr>
            <w:r>
              <w:rPr>
                <w:rFonts w:ascii="Arial" w:hAnsi="Arial" w:cs="Arial"/>
                <w:sz w:val="20"/>
                <w:szCs w:val="20"/>
              </w:rPr>
              <w:t xml:space="preserve">Pays </w:t>
            </w:r>
            <w:r w:rsidR="0027785F">
              <w:rPr>
                <w:rFonts w:ascii="Arial" w:hAnsi="Arial" w:cs="Arial"/>
                <w:sz w:val="20"/>
                <w:szCs w:val="20"/>
              </w:rPr>
              <w:t>d</w:t>
            </w:r>
            <w:r>
              <w:rPr>
                <w:rFonts w:ascii="Arial" w:hAnsi="Arial" w:cs="Arial"/>
                <w:sz w:val="20"/>
                <w:szCs w:val="20"/>
              </w:rPr>
              <w:t>e Saverne Plaine et Plateau</w:t>
            </w:r>
            <w:r w:rsidR="00C41F58">
              <w:rPr>
                <w:rFonts w:ascii="Arial" w:hAnsi="Arial" w:cs="Arial"/>
                <w:sz w:val="20"/>
                <w:szCs w:val="20"/>
              </w:rPr>
              <w:t xml:space="preserve"> et </w:t>
            </w:r>
            <w:r w:rsidR="00C41F58">
              <w:rPr>
                <w:rFonts w:ascii="Arial" w:hAnsi="Arial" w:cs="Arial"/>
                <w:szCs w:val="20"/>
              </w:rPr>
              <w:t>Mossig Vignoble</w:t>
            </w:r>
          </w:p>
        </w:tc>
      </w:tr>
      <w:tr w:rsidR="00F71D52" w:rsidRPr="00354DE9" w14:paraId="419E20ED" w14:textId="77777777" w:rsidTr="00996C61">
        <w:trPr>
          <w:trHeight w:val="350"/>
          <w:jc w:val="center"/>
        </w:trPr>
        <w:tc>
          <w:tcPr>
            <w:tcW w:w="2547" w:type="dxa"/>
            <w:vMerge w:val="restart"/>
            <w:shd w:val="clear" w:color="auto" w:fill="auto"/>
            <w:vAlign w:val="center"/>
          </w:tcPr>
          <w:p w14:paraId="31A7A41C" w14:textId="77777777" w:rsidR="00F71D52" w:rsidRPr="00354DE9" w:rsidRDefault="00F71D52" w:rsidP="0057104E">
            <w:pPr>
              <w:rPr>
                <w:rFonts w:ascii="Arial" w:hAnsi="Arial" w:cs="Arial"/>
                <w:b/>
                <w:sz w:val="20"/>
                <w:szCs w:val="20"/>
              </w:rPr>
            </w:pPr>
            <w:r w:rsidRPr="00354DE9">
              <w:rPr>
                <w:rFonts w:ascii="Arial" w:hAnsi="Arial" w:cs="Arial"/>
                <w:b/>
                <w:sz w:val="20"/>
                <w:szCs w:val="20"/>
              </w:rPr>
              <w:t xml:space="preserve">Financement </w:t>
            </w:r>
          </w:p>
        </w:tc>
        <w:tc>
          <w:tcPr>
            <w:tcW w:w="1789" w:type="dxa"/>
            <w:gridSpan w:val="2"/>
            <w:shd w:val="clear" w:color="auto" w:fill="auto"/>
            <w:vAlign w:val="center"/>
          </w:tcPr>
          <w:p w14:paraId="074F89D6" w14:textId="77777777"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shd w:val="clear" w:color="auto" w:fill="auto"/>
            <w:vAlign w:val="center"/>
          </w:tcPr>
          <w:p w14:paraId="11678B0C" w14:textId="77777777" w:rsidR="001A701D" w:rsidRDefault="001A701D" w:rsidP="001A701D">
            <w:pPr>
              <w:rPr>
                <w:rFonts w:ascii="Arial" w:hAnsi="Arial" w:cs="Arial"/>
                <w:sz w:val="20"/>
                <w:szCs w:val="20"/>
              </w:rPr>
            </w:pPr>
            <w:r w:rsidRPr="001A701D">
              <w:rPr>
                <w:rFonts w:ascii="Arial" w:hAnsi="Arial" w:cs="Arial"/>
                <w:sz w:val="20"/>
                <w:szCs w:val="20"/>
              </w:rPr>
              <w:t xml:space="preserve">Pour les supports (impression, location) </w:t>
            </w:r>
          </w:p>
          <w:p w14:paraId="4C4DF698" w14:textId="5F268911" w:rsidR="00735816" w:rsidRPr="001A701D" w:rsidRDefault="00735816" w:rsidP="001A701D">
            <w:pPr>
              <w:rPr>
                <w:rFonts w:ascii="Arial" w:hAnsi="Arial" w:cs="Arial"/>
                <w:sz w:val="20"/>
                <w:szCs w:val="20"/>
              </w:rPr>
            </w:pPr>
            <w:r>
              <w:rPr>
                <w:rFonts w:ascii="Arial" w:hAnsi="Arial" w:cs="Arial"/>
                <w:sz w:val="20"/>
                <w:szCs w:val="20"/>
              </w:rPr>
              <w:t>Organisation des évènements</w:t>
            </w:r>
          </w:p>
          <w:p w14:paraId="65F9F7A3" w14:textId="77777777" w:rsidR="007452AB" w:rsidRPr="00354DE9" w:rsidRDefault="001A701D" w:rsidP="001A701D">
            <w:pPr>
              <w:rPr>
                <w:rFonts w:ascii="Arial" w:hAnsi="Arial" w:cs="Arial"/>
                <w:sz w:val="20"/>
                <w:szCs w:val="20"/>
              </w:rPr>
            </w:pPr>
            <w:r w:rsidRPr="001A701D">
              <w:rPr>
                <w:rFonts w:ascii="Arial" w:hAnsi="Arial" w:cs="Arial"/>
                <w:sz w:val="20"/>
                <w:szCs w:val="20"/>
              </w:rPr>
              <w:t>Cout ressources humaines portés par les partenaires.</w:t>
            </w:r>
          </w:p>
        </w:tc>
      </w:tr>
      <w:tr w:rsidR="00F71D52" w:rsidRPr="00354DE9" w14:paraId="08C23A28" w14:textId="77777777" w:rsidTr="00996C61">
        <w:trPr>
          <w:trHeight w:val="199"/>
          <w:jc w:val="center"/>
        </w:trPr>
        <w:tc>
          <w:tcPr>
            <w:tcW w:w="2547" w:type="dxa"/>
            <w:vMerge/>
            <w:shd w:val="clear" w:color="auto" w:fill="auto"/>
            <w:vAlign w:val="center"/>
          </w:tcPr>
          <w:p w14:paraId="6A61EF79"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4A2CEAD2" w14:textId="77777777" w:rsidR="00F71D52" w:rsidRPr="00F71D52" w:rsidRDefault="00F71D52" w:rsidP="00BA59FE">
            <w:pPr>
              <w:rPr>
                <w:rFonts w:ascii="Arial" w:hAnsi="Arial" w:cs="Arial"/>
                <w:i/>
                <w:sz w:val="18"/>
                <w:szCs w:val="18"/>
              </w:rPr>
            </w:pPr>
            <w:r w:rsidRPr="00F71D52">
              <w:rPr>
                <w:rFonts w:ascii="Arial" w:hAnsi="Arial" w:cs="Arial"/>
                <w:i/>
                <w:sz w:val="18"/>
                <w:szCs w:val="18"/>
              </w:rPr>
              <w:t>Financeurs et montants</w:t>
            </w:r>
          </w:p>
        </w:tc>
        <w:tc>
          <w:tcPr>
            <w:tcW w:w="5184" w:type="dxa"/>
            <w:gridSpan w:val="2"/>
            <w:shd w:val="clear" w:color="auto" w:fill="auto"/>
            <w:vAlign w:val="center"/>
          </w:tcPr>
          <w:p w14:paraId="3839496A" w14:textId="77777777" w:rsidR="00F71D52" w:rsidRPr="00354DE9" w:rsidRDefault="00F71D52" w:rsidP="00F16670">
            <w:pPr>
              <w:rPr>
                <w:rFonts w:ascii="Arial" w:hAnsi="Arial" w:cs="Arial"/>
                <w:sz w:val="20"/>
                <w:szCs w:val="20"/>
              </w:rPr>
            </w:pPr>
          </w:p>
        </w:tc>
      </w:tr>
      <w:tr w:rsidR="00F71D52" w:rsidRPr="00354DE9" w14:paraId="2285B3F0" w14:textId="77777777" w:rsidTr="00996C61">
        <w:trPr>
          <w:trHeight w:val="500"/>
          <w:jc w:val="center"/>
        </w:trPr>
        <w:tc>
          <w:tcPr>
            <w:tcW w:w="2547" w:type="dxa"/>
            <w:vMerge/>
            <w:shd w:val="clear" w:color="auto" w:fill="auto"/>
            <w:vAlign w:val="center"/>
          </w:tcPr>
          <w:p w14:paraId="1E3DD16C"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4497DB40" w14:textId="77777777" w:rsidR="00F71D52" w:rsidRPr="00F71D52" w:rsidRDefault="00F71D52" w:rsidP="00BA59FE">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shd w:val="clear" w:color="auto" w:fill="auto"/>
            <w:vAlign w:val="center"/>
          </w:tcPr>
          <w:p w14:paraId="10C2F6E0" w14:textId="77777777" w:rsidR="00F71D52" w:rsidRPr="00354DE9" w:rsidRDefault="001A701D" w:rsidP="00F16670">
            <w:pPr>
              <w:rPr>
                <w:rFonts w:ascii="Arial" w:hAnsi="Arial" w:cs="Arial"/>
                <w:sz w:val="20"/>
                <w:szCs w:val="20"/>
              </w:rPr>
            </w:pPr>
            <w:r w:rsidRPr="001A701D">
              <w:rPr>
                <w:rFonts w:ascii="Arial" w:hAnsi="Arial" w:cs="Arial"/>
                <w:sz w:val="20"/>
                <w:szCs w:val="20"/>
              </w:rPr>
              <w:t>Intervenants professionnels des différents métiers</w:t>
            </w:r>
          </w:p>
        </w:tc>
      </w:tr>
      <w:tr w:rsidR="00143098" w:rsidRPr="00354DE9" w14:paraId="646B0C56" w14:textId="77777777" w:rsidTr="00EE1636">
        <w:trPr>
          <w:trHeight w:val="554"/>
          <w:jc w:val="center"/>
        </w:trPr>
        <w:tc>
          <w:tcPr>
            <w:tcW w:w="2547" w:type="dxa"/>
            <w:vMerge w:val="restart"/>
            <w:shd w:val="clear" w:color="auto" w:fill="FFFFFF" w:themeFill="background1"/>
            <w:vAlign w:val="center"/>
          </w:tcPr>
          <w:p w14:paraId="7E54B961" w14:textId="77777777"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14:paraId="1358AB1D"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14:paraId="4BA9282A" w14:textId="77777777" w:rsidR="00143098" w:rsidRPr="00354DE9" w:rsidRDefault="00B30CB5"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Accessibilité (géographique, financière, socio-culturelle, …)</w:t>
            </w:r>
          </w:p>
          <w:p w14:paraId="3376A8AD"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Globalité (synergie des composantes, prise en compte des conditions sociales)</w:t>
            </w:r>
          </w:p>
          <w:p w14:paraId="6A31D162" w14:textId="77777777" w:rsidR="00143098" w:rsidRPr="00354DE9" w:rsidRDefault="00B30CB5"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0"/>
                  </w:checkBox>
                </w:ffData>
              </w:fldChar>
            </w:r>
            <w:bookmarkStart w:id="3" w:name="CaseACocher61"/>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bookmarkEnd w:id="3"/>
            <w:r w:rsidR="00143098" w:rsidRPr="00354DE9">
              <w:rPr>
                <w:rFonts w:ascii="Arial" w:eastAsia="Times New Roman" w:hAnsi="Arial" w:cs="Arial"/>
                <w:iCs/>
                <w:sz w:val="20"/>
                <w:szCs w:val="20"/>
                <w:lang w:eastAsia="fr-FR"/>
              </w:rPr>
              <w:t xml:space="preserve"> Continuité (informationnelle, relationnelle, clinique)</w:t>
            </w:r>
          </w:p>
          <w:p w14:paraId="143A82F5" w14:textId="77777777" w:rsidR="00143098" w:rsidRPr="00354DE9" w:rsidRDefault="00BD43A8" w:rsidP="00F16670">
            <w:pPr>
              <w:rPr>
                <w:rFonts w:ascii="Arial" w:eastAsia="Times New Roman" w:hAnsi="Arial" w:cs="Arial"/>
                <w:i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00143098" w:rsidRPr="00354DE9">
              <w:rPr>
                <w:rFonts w:ascii="Arial" w:eastAsia="Times New Roman" w:hAnsi="Arial" w:cs="Arial"/>
                <w:iCs/>
                <w:sz w:val="20"/>
                <w:szCs w:val="20"/>
                <w:lang w:eastAsia="fr-FR"/>
              </w:rPr>
              <w:t>éactivité (respect des attentes des patients, satisfaction des patients)</w:t>
            </w:r>
          </w:p>
          <w:p w14:paraId="23BEA921"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Efficacité et sécurité</w:t>
            </w:r>
          </w:p>
        </w:tc>
      </w:tr>
      <w:tr w:rsidR="00143098" w:rsidRPr="00354DE9" w14:paraId="328F65C4" w14:textId="77777777" w:rsidTr="00EE1636">
        <w:trPr>
          <w:trHeight w:val="554"/>
          <w:jc w:val="center"/>
        </w:trPr>
        <w:tc>
          <w:tcPr>
            <w:tcW w:w="2547" w:type="dxa"/>
            <w:vMerge/>
            <w:shd w:val="clear" w:color="auto" w:fill="FFFFFF" w:themeFill="background1"/>
            <w:vAlign w:val="center"/>
          </w:tcPr>
          <w:p w14:paraId="79C525AA" w14:textId="77777777" w:rsidR="00143098" w:rsidRPr="00354DE9" w:rsidRDefault="00143098" w:rsidP="002E571E">
            <w:pPr>
              <w:rPr>
                <w:rFonts w:ascii="Arial" w:hAnsi="Arial" w:cs="Arial"/>
                <w:b/>
                <w:sz w:val="20"/>
                <w:szCs w:val="20"/>
              </w:rPr>
            </w:pPr>
          </w:p>
        </w:tc>
        <w:tc>
          <w:tcPr>
            <w:tcW w:w="6973" w:type="dxa"/>
            <w:gridSpan w:val="4"/>
            <w:vAlign w:val="center"/>
          </w:tcPr>
          <w:p w14:paraId="1B42F694" w14:textId="77777777" w:rsidR="00143098" w:rsidRPr="00EA7DFE" w:rsidRDefault="00143098" w:rsidP="00F16670">
            <w:pPr>
              <w:rPr>
                <w:rFonts w:ascii="Arial" w:hAnsi="Arial" w:cs="Arial"/>
                <w:b/>
                <w:noProof/>
                <w:sz w:val="20"/>
                <w:szCs w:val="20"/>
                <w:lang w:eastAsia="fr-FR"/>
              </w:rPr>
            </w:pPr>
            <w:r w:rsidRPr="00EA7DFE">
              <w:rPr>
                <w:rFonts w:ascii="Arial" w:hAnsi="Arial" w:cs="Arial"/>
                <w:b/>
                <w:noProof/>
                <w:sz w:val="20"/>
                <w:szCs w:val="20"/>
                <w:lang w:eastAsia="fr-FR"/>
              </w:rPr>
              <w:t xml:space="preserve">Mode de vie </w:t>
            </w:r>
          </w:p>
          <w:p w14:paraId="72FA3D24" w14:textId="77777777" w:rsidR="00143098" w:rsidRPr="00EA7DFE" w:rsidRDefault="00B30CB5"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 xml:space="preserve">Acquisition de comportements favorables à la santé </w:t>
            </w:r>
            <w:r w:rsidR="00143098" w:rsidRPr="00EA7DFE">
              <w:rPr>
                <w:rFonts w:ascii="Arial" w:eastAsia="Times New Roman" w:hAnsi="Arial" w:cs="Arial"/>
                <w:i/>
                <w:iCs/>
                <w:sz w:val="20"/>
                <w:szCs w:val="20"/>
                <w:lang w:eastAsia="fr-FR"/>
              </w:rPr>
              <w:t>(consommation d’alcool, de tabac, alimentation, activité physique, …)</w:t>
            </w:r>
          </w:p>
          <w:p w14:paraId="050882D2" w14:textId="77777777" w:rsidR="00143098" w:rsidRPr="00EA7DFE" w:rsidRDefault="00D9224D"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Pr>
                <w:rFonts w:ascii="Arial" w:hAnsi="Arial" w:cs="Arial"/>
                <w:sz w:val="20"/>
                <w:szCs w:val="20"/>
              </w:rPr>
              <w:t xml:space="preserve"> </w:t>
            </w:r>
            <w:r w:rsidR="00143098" w:rsidRPr="00EA7DFE">
              <w:rPr>
                <w:rFonts w:ascii="Arial" w:eastAsia="Times New Roman" w:hAnsi="Arial" w:cs="Arial"/>
                <w:iCs/>
                <w:sz w:val="20"/>
                <w:szCs w:val="20"/>
                <w:lang w:eastAsia="fr-FR"/>
              </w:rPr>
              <w:t>Utilisation des services de santé (recours aux soins et à la prévention)</w:t>
            </w:r>
          </w:p>
        </w:tc>
      </w:tr>
      <w:tr w:rsidR="00143098" w:rsidRPr="00354DE9" w14:paraId="2D5A1842" w14:textId="77777777" w:rsidTr="00EE1636">
        <w:trPr>
          <w:trHeight w:val="554"/>
          <w:jc w:val="center"/>
        </w:trPr>
        <w:tc>
          <w:tcPr>
            <w:tcW w:w="2547" w:type="dxa"/>
            <w:vMerge/>
            <w:shd w:val="clear" w:color="auto" w:fill="FFFFFF" w:themeFill="background1"/>
            <w:vAlign w:val="center"/>
          </w:tcPr>
          <w:p w14:paraId="423FE1E0" w14:textId="77777777" w:rsidR="00143098" w:rsidRPr="00354DE9" w:rsidRDefault="00143098" w:rsidP="002E571E">
            <w:pPr>
              <w:rPr>
                <w:rFonts w:ascii="Arial" w:hAnsi="Arial" w:cs="Arial"/>
                <w:b/>
                <w:sz w:val="20"/>
                <w:szCs w:val="20"/>
              </w:rPr>
            </w:pPr>
          </w:p>
        </w:tc>
        <w:tc>
          <w:tcPr>
            <w:tcW w:w="6973" w:type="dxa"/>
            <w:gridSpan w:val="4"/>
            <w:vAlign w:val="center"/>
          </w:tcPr>
          <w:p w14:paraId="27C927C4"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14:paraId="6B07586D" w14:textId="77777777" w:rsidR="00143098" w:rsidRPr="00354DE9" w:rsidRDefault="00B30CB5"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14:paraId="13D83FB7" w14:textId="77777777" w:rsidR="00143098" w:rsidRPr="00354DE9" w:rsidRDefault="00143098" w:rsidP="00F16670">
            <w:pPr>
              <w:rPr>
                <w:rFonts w:ascii="Arial" w:eastAsia="Times New Roman" w:hAnsi="Arial" w:cs="Arial"/>
                <w:i/>
                <w:iCs/>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Environnement physique (</w:t>
            </w:r>
            <w:r w:rsidRPr="00354DE9">
              <w:rPr>
                <w:rFonts w:ascii="Arial" w:eastAsia="Times New Roman" w:hAnsi="Arial" w:cs="Arial"/>
                <w:i/>
                <w:iCs/>
                <w:sz w:val="20"/>
                <w:szCs w:val="20"/>
                <w:lang w:eastAsia="fr-FR"/>
              </w:rPr>
              <w:t>air, sol, eau, aménagement du territoire …)</w:t>
            </w:r>
          </w:p>
          <w:p w14:paraId="6A111B88"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14:paraId="30D49548" w14:textId="77777777" w:rsidTr="00EE1636">
        <w:trPr>
          <w:trHeight w:val="554"/>
          <w:jc w:val="center"/>
        </w:trPr>
        <w:tc>
          <w:tcPr>
            <w:tcW w:w="2547" w:type="dxa"/>
            <w:vMerge/>
            <w:shd w:val="clear" w:color="auto" w:fill="FFFFFF" w:themeFill="background1"/>
            <w:vAlign w:val="center"/>
          </w:tcPr>
          <w:p w14:paraId="74616C5F" w14:textId="77777777" w:rsidR="00143098" w:rsidRPr="00354DE9" w:rsidRDefault="00143098" w:rsidP="002E571E">
            <w:pPr>
              <w:rPr>
                <w:rFonts w:ascii="Arial" w:hAnsi="Arial" w:cs="Arial"/>
                <w:b/>
                <w:sz w:val="20"/>
                <w:szCs w:val="20"/>
              </w:rPr>
            </w:pPr>
          </w:p>
        </w:tc>
        <w:tc>
          <w:tcPr>
            <w:tcW w:w="6973" w:type="dxa"/>
            <w:gridSpan w:val="4"/>
            <w:vAlign w:val="center"/>
          </w:tcPr>
          <w:p w14:paraId="588774E4"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14:paraId="5F9C3CBF" w14:textId="77777777" w:rsidR="00143098" w:rsidRPr="00354DE9" w:rsidRDefault="00AE0A60"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D9224D">
              <w:rPr>
                <w:rFonts w:ascii="Arial" w:eastAsia="Times New Roman" w:hAnsi="Arial" w:cs="Arial"/>
                <w:iCs/>
                <w:sz w:val="20"/>
                <w:szCs w:val="20"/>
                <w:lang w:eastAsia="fr-FR"/>
              </w:rPr>
              <w:t xml:space="preserve"> </w:t>
            </w:r>
            <w:r w:rsidR="00143098" w:rsidRPr="00EA7DFE">
              <w:rPr>
                <w:rFonts w:ascii="Arial" w:eastAsia="Times New Roman" w:hAnsi="Arial" w:cs="Arial"/>
                <w:iCs/>
                <w:sz w:val="20"/>
                <w:szCs w:val="20"/>
                <w:lang w:eastAsia="fr-FR"/>
              </w:rPr>
              <w:t>Intégration sociale</w:t>
            </w:r>
          </w:p>
          <w:p w14:paraId="07D35723" w14:textId="77777777" w:rsidR="00143098" w:rsidRPr="00354DE9" w:rsidRDefault="00143098" w:rsidP="00F16670">
            <w:pPr>
              <w:rPr>
                <w:rFonts w:ascii="Arial" w:hAnsi="Arial" w:cs="Arial"/>
                <w:i/>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Empowerment </w:t>
            </w:r>
            <w:r w:rsidRPr="00354DE9">
              <w:rPr>
                <w:rFonts w:ascii="Arial" w:eastAsia="Times New Roman" w:hAnsi="Arial" w:cs="Arial"/>
                <w:i/>
                <w:iCs/>
                <w:sz w:val="20"/>
                <w:szCs w:val="20"/>
                <w:lang w:eastAsia="fr-FR"/>
              </w:rPr>
              <w:t>(participation des habitants)</w:t>
            </w:r>
          </w:p>
          <w:p w14:paraId="51C294D5"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Normes et climat social</w:t>
            </w:r>
          </w:p>
        </w:tc>
      </w:tr>
      <w:tr w:rsidR="00143098" w:rsidRPr="00354DE9" w14:paraId="7236C794" w14:textId="77777777" w:rsidTr="00EE1636">
        <w:trPr>
          <w:trHeight w:val="554"/>
          <w:jc w:val="center"/>
        </w:trPr>
        <w:tc>
          <w:tcPr>
            <w:tcW w:w="2547" w:type="dxa"/>
            <w:vMerge/>
            <w:shd w:val="clear" w:color="auto" w:fill="FFFFFF" w:themeFill="background1"/>
            <w:vAlign w:val="center"/>
          </w:tcPr>
          <w:p w14:paraId="666FC631" w14:textId="77777777" w:rsidR="00143098" w:rsidRPr="00354DE9" w:rsidRDefault="00143098" w:rsidP="002E571E">
            <w:pPr>
              <w:rPr>
                <w:rFonts w:ascii="Arial" w:hAnsi="Arial" w:cs="Arial"/>
                <w:b/>
                <w:sz w:val="20"/>
                <w:szCs w:val="20"/>
              </w:rPr>
            </w:pPr>
          </w:p>
        </w:tc>
        <w:tc>
          <w:tcPr>
            <w:tcW w:w="6973" w:type="dxa"/>
            <w:gridSpan w:val="4"/>
            <w:vAlign w:val="center"/>
          </w:tcPr>
          <w:p w14:paraId="69133A3D"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14:paraId="21AE1A57"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14:paraId="2F354FD4" w14:textId="77777777" w:rsidR="00143098" w:rsidRPr="00354DE9" w:rsidRDefault="00BD43A8"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14:paraId="2B4431C9" w14:textId="77777777" w:rsidR="00143098" w:rsidRPr="00354DE9" w:rsidRDefault="00B30CB5"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La santé dans les politiques </w:t>
            </w:r>
            <w:r w:rsidR="00143098" w:rsidRPr="00354DE9">
              <w:rPr>
                <w:rFonts w:ascii="Arial" w:eastAsia="Times New Roman" w:hAnsi="Arial" w:cs="Arial"/>
                <w:i/>
                <w:iCs/>
                <w:sz w:val="20"/>
                <w:szCs w:val="20"/>
                <w:lang w:eastAsia="fr-FR"/>
              </w:rPr>
              <w:t>(prise en compte des déterminants de santé dans les politiques)</w:t>
            </w:r>
          </w:p>
        </w:tc>
      </w:tr>
      <w:tr w:rsidR="00143098" w:rsidRPr="00354DE9" w14:paraId="2F6304BB" w14:textId="77777777" w:rsidTr="00EE1636">
        <w:trPr>
          <w:trHeight w:val="554"/>
          <w:jc w:val="center"/>
        </w:trPr>
        <w:tc>
          <w:tcPr>
            <w:tcW w:w="2547" w:type="dxa"/>
            <w:vMerge/>
            <w:shd w:val="clear" w:color="auto" w:fill="FFFFFF" w:themeFill="background1"/>
            <w:vAlign w:val="center"/>
          </w:tcPr>
          <w:p w14:paraId="3A93779F" w14:textId="77777777" w:rsidR="00143098" w:rsidRPr="00354DE9" w:rsidRDefault="00143098" w:rsidP="002E571E">
            <w:pPr>
              <w:rPr>
                <w:rFonts w:ascii="Arial" w:hAnsi="Arial" w:cs="Arial"/>
                <w:b/>
                <w:sz w:val="20"/>
                <w:szCs w:val="20"/>
              </w:rPr>
            </w:pPr>
          </w:p>
        </w:tc>
        <w:tc>
          <w:tcPr>
            <w:tcW w:w="6973" w:type="dxa"/>
            <w:gridSpan w:val="4"/>
            <w:vAlign w:val="center"/>
          </w:tcPr>
          <w:p w14:paraId="4660D62B" w14:textId="77777777"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14:paraId="0C050D6F"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14:paraId="38E11EAF"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14:paraId="1258394B" w14:textId="77777777" w:rsidTr="00C55AAD">
        <w:trPr>
          <w:trHeight w:val="423"/>
          <w:jc w:val="center"/>
        </w:trPr>
        <w:tc>
          <w:tcPr>
            <w:tcW w:w="2547" w:type="dxa"/>
            <w:vMerge/>
            <w:shd w:val="clear" w:color="auto" w:fill="FFFFFF" w:themeFill="background1"/>
            <w:vAlign w:val="center"/>
          </w:tcPr>
          <w:p w14:paraId="04B935A8" w14:textId="77777777" w:rsidR="00143098" w:rsidRPr="00354DE9" w:rsidRDefault="00143098" w:rsidP="002E571E">
            <w:pPr>
              <w:rPr>
                <w:rFonts w:ascii="Arial" w:hAnsi="Arial" w:cs="Arial"/>
                <w:b/>
                <w:sz w:val="20"/>
                <w:szCs w:val="20"/>
              </w:rPr>
            </w:pPr>
          </w:p>
        </w:tc>
        <w:tc>
          <w:tcPr>
            <w:tcW w:w="6973" w:type="dxa"/>
            <w:gridSpan w:val="4"/>
            <w:vAlign w:val="center"/>
          </w:tcPr>
          <w:p w14:paraId="504C1897" w14:textId="77777777"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14:paraId="5C72DAEB" w14:textId="77777777" w:rsidTr="00EE1636">
        <w:trPr>
          <w:trHeight w:val="554"/>
          <w:jc w:val="center"/>
        </w:trPr>
        <w:tc>
          <w:tcPr>
            <w:tcW w:w="2547" w:type="dxa"/>
            <w:shd w:val="clear" w:color="auto" w:fill="FFFFFF" w:themeFill="background1"/>
            <w:vAlign w:val="center"/>
          </w:tcPr>
          <w:p w14:paraId="5D9A9CF4" w14:textId="77777777"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14:paraId="0F842B03" w14:textId="77777777" w:rsidR="001361D6" w:rsidRDefault="00BD43A8" w:rsidP="00BD43A8">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1A701D">
              <w:rPr>
                <w:rFonts w:ascii="Arial" w:hAnsi="Arial" w:cs="Arial"/>
                <w:sz w:val="20"/>
                <w:szCs w:val="20"/>
              </w:rPr>
              <w:fldChar w:fldCharType="begin">
                <w:ffData>
                  <w:name w:val=""/>
                  <w:enabled/>
                  <w:calcOnExit w:val="0"/>
                  <w:checkBox>
                    <w:sizeAuto/>
                    <w:default w:val="1"/>
                  </w:checkBox>
                </w:ffData>
              </w:fldChar>
            </w:r>
            <w:r w:rsidR="001A701D">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001A701D">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w:t>
            </w:r>
          </w:p>
        </w:tc>
      </w:tr>
      <w:tr w:rsidR="00F71D52" w:rsidRPr="00354DE9" w14:paraId="1D3CA939" w14:textId="77777777" w:rsidTr="00EE1636">
        <w:trPr>
          <w:trHeight w:val="554"/>
          <w:jc w:val="center"/>
        </w:trPr>
        <w:tc>
          <w:tcPr>
            <w:tcW w:w="2547" w:type="dxa"/>
            <w:shd w:val="clear" w:color="auto" w:fill="FFFFFF" w:themeFill="background1"/>
            <w:vAlign w:val="center"/>
          </w:tcPr>
          <w:p w14:paraId="3D45587E" w14:textId="77777777" w:rsidR="00F71D52" w:rsidRPr="00354DE9" w:rsidRDefault="00F71D52" w:rsidP="00155A3B">
            <w:pPr>
              <w:rPr>
                <w:rFonts w:ascii="Arial" w:hAnsi="Arial" w:cs="Arial"/>
                <w:b/>
                <w:sz w:val="20"/>
                <w:szCs w:val="20"/>
              </w:rPr>
            </w:pPr>
            <w:r w:rsidRPr="00354DE9">
              <w:rPr>
                <w:rFonts w:ascii="Arial" w:hAnsi="Arial" w:cs="Arial"/>
                <w:b/>
                <w:sz w:val="20"/>
                <w:szCs w:val="20"/>
              </w:rPr>
              <w:t>Politiques Publiques concernées</w:t>
            </w:r>
          </w:p>
        </w:tc>
        <w:tc>
          <w:tcPr>
            <w:tcW w:w="6973" w:type="dxa"/>
            <w:gridSpan w:val="4"/>
            <w:vAlign w:val="center"/>
          </w:tcPr>
          <w:p w14:paraId="28609B90" w14:textId="7ACF5389" w:rsidR="00DB1DCC" w:rsidRPr="005B45F0" w:rsidRDefault="00F57EBC" w:rsidP="00DB1DCC">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Pacte territoire santé</w:t>
            </w:r>
          </w:p>
        </w:tc>
      </w:tr>
      <w:tr w:rsidR="00562D16" w:rsidRPr="00354DE9" w14:paraId="29FD0F6D" w14:textId="77777777" w:rsidTr="00EE1636">
        <w:trPr>
          <w:trHeight w:val="554"/>
          <w:jc w:val="center"/>
        </w:trPr>
        <w:tc>
          <w:tcPr>
            <w:tcW w:w="2547" w:type="dxa"/>
            <w:shd w:val="clear" w:color="auto" w:fill="FFFFFF" w:themeFill="background1"/>
            <w:vAlign w:val="center"/>
          </w:tcPr>
          <w:p w14:paraId="3B34B53E" w14:textId="77777777"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14:paraId="7019D493" w14:textId="77777777" w:rsidR="00562D16" w:rsidRPr="00354DE9" w:rsidRDefault="001361D6" w:rsidP="00D9224D">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Oui  </w:t>
            </w:r>
            <w:r w:rsidR="001A701D">
              <w:rPr>
                <w:rFonts w:ascii="Arial" w:hAnsi="Arial" w:cs="Arial"/>
                <w:sz w:val="20"/>
                <w:szCs w:val="20"/>
              </w:rPr>
              <w:fldChar w:fldCharType="begin">
                <w:ffData>
                  <w:name w:val=""/>
                  <w:enabled/>
                  <w:calcOnExit w:val="0"/>
                  <w:checkBox>
                    <w:sizeAuto/>
                    <w:default w:val="1"/>
                  </w:checkBox>
                </w:ffData>
              </w:fldChar>
            </w:r>
            <w:r w:rsidR="001A701D">
              <w:rPr>
                <w:rFonts w:ascii="Arial" w:hAnsi="Arial" w:cs="Arial"/>
                <w:sz w:val="20"/>
                <w:szCs w:val="20"/>
              </w:rPr>
              <w:instrText xml:space="preserve"> FORMCHECKBOX </w:instrText>
            </w:r>
            <w:r w:rsidR="00E30D9A">
              <w:rPr>
                <w:rFonts w:ascii="Arial" w:hAnsi="Arial" w:cs="Arial"/>
                <w:sz w:val="20"/>
                <w:szCs w:val="20"/>
              </w:rPr>
            </w:r>
            <w:r w:rsidR="00E30D9A">
              <w:rPr>
                <w:rFonts w:ascii="Arial" w:hAnsi="Arial" w:cs="Arial"/>
                <w:sz w:val="20"/>
                <w:szCs w:val="20"/>
              </w:rPr>
              <w:fldChar w:fldCharType="separate"/>
            </w:r>
            <w:r w:rsidR="001A701D">
              <w:rPr>
                <w:rFonts w:ascii="Arial" w:hAnsi="Arial" w:cs="Arial"/>
                <w:sz w:val="20"/>
                <w:szCs w:val="20"/>
              </w:rPr>
              <w:fldChar w:fldCharType="end"/>
            </w:r>
            <w:r w:rsidRPr="00EA7DFE">
              <w:rPr>
                <w:rFonts w:ascii="Arial" w:hAnsi="Arial" w:cs="Arial"/>
                <w:sz w:val="20"/>
                <w:szCs w:val="20"/>
              </w:rPr>
              <w:t xml:space="preserve"> Non</w:t>
            </w:r>
            <w:r>
              <w:rPr>
                <w:rFonts w:ascii="Arial" w:hAnsi="Arial" w:cs="Arial"/>
                <w:sz w:val="20"/>
                <w:szCs w:val="20"/>
              </w:rPr>
              <w:t xml:space="preserve"> (Précisez)</w:t>
            </w:r>
          </w:p>
        </w:tc>
      </w:tr>
      <w:tr w:rsidR="00F71D52" w:rsidRPr="00354DE9" w14:paraId="7EE47B84" w14:textId="77777777" w:rsidTr="00C55AAD">
        <w:trPr>
          <w:trHeight w:val="2842"/>
          <w:jc w:val="center"/>
        </w:trPr>
        <w:tc>
          <w:tcPr>
            <w:tcW w:w="2547" w:type="dxa"/>
            <w:shd w:val="clear" w:color="auto" w:fill="FFFFFF" w:themeFill="background1"/>
            <w:vAlign w:val="center"/>
          </w:tcPr>
          <w:p w14:paraId="6C45A488" w14:textId="77777777" w:rsidR="00F71D52" w:rsidRPr="00354DE9" w:rsidRDefault="00F71D52" w:rsidP="00155A3B">
            <w:pPr>
              <w:rPr>
                <w:rFonts w:ascii="Arial" w:hAnsi="Arial" w:cs="Arial"/>
                <w:b/>
                <w:sz w:val="20"/>
                <w:szCs w:val="20"/>
              </w:rPr>
            </w:pPr>
            <w:r w:rsidRPr="00354DE9">
              <w:rPr>
                <w:rFonts w:ascii="Arial" w:hAnsi="Arial" w:cs="Arial"/>
                <w:b/>
                <w:sz w:val="20"/>
                <w:szCs w:val="20"/>
              </w:rPr>
              <w:lastRenderedPageBreak/>
              <w:t xml:space="preserve">Principaux indicateurs d’évaluation retenus </w:t>
            </w:r>
          </w:p>
        </w:tc>
        <w:tc>
          <w:tcPr>
            <w:tcW w:w="6973" w:type="dxa"/>
            <w:gridSpan w:val="4"/>
            <w:vAlign w:val="center"/>
          </w:tcPr>
          <w:p w14:paraId="46C5F0BD" w14:textId="77777777" w:rsidR="00D9224D" w:rsidRDefault="00236FB1" w:rsidP="00236FB1">
            <w:pPr>
              <w:spacing w:line="253" w:lineRule="atLeast"/>
              <w:rPr>
                <w:rFonts w:ascii="Arial" w:hAnsi="Arial" w:cs="Arial"/>
                <w:b/>
                <w:i/>
                <w:sz w:val="20"/>
                <w:szCs w:val="20"/>
                <w:u w:val="single"/>
              </w:rPr>
            </w:pPr>
            <w:r>
              <w:rPr>
                <w:rFonts w:ascii="Arial" w:hAnsi="Arial" w:cs="Arial"/>
                <w:b/>
                <w:i/>
                <w:sz w:val="20"/>
                <w:szCs w:val="20"/>
                <w:u w:val="single"/>
              </w:rPr>
              <w:t>Evaluation propre de l’action </w:t>
            </w:r>
          </w:p>
          <w:p w14:paraId="32B15BE7" w14:textId="77777777" w:rsidR="00D9224D" w:rsidRDefault="00D9224D" w:rsidP="00236FB1">
            <w:pPr>
              <w:spacing w:line="253" w:lineRule="atLeast"/>
              <w:rPr>
                <w:rFonts w:ascii="Arial" w:hAnsi="Arial" w:cs="Arial"/>
                <w:b/>
                <w:i/>
                <w:sz w:val="20"/>
                <w:szCs w:val="20"/>
                <w:u w:val="single"/>
              </w:rPr>
            </w:pPr>
          </w:p>
          <w:p w14:paraId="1368FFCC" w14:textId="77777777" w:rsidR="00F57EBC" w:rsidRPr="00F57EBC" w:rsidRDefault="00F57EBC" w:rsidP="00F57EBC">
            <w:pPr>
              <w:spacing w:line="253" w:lineRule="atLeast"/>
              <w:rPr>
                <w:rFonts w:ascii="Arial" w:hAnsi="Arial" w:cs="Arial"/>
                <w:b/>
                <w:i/>
                <w:sz w:val="20"/>
                <w:szCs w:val="20"/>
              </w:rPr>
            </w:pPr>
            <w:r w:rsidRPr="00F57EBC">
              <w:rPr>
                <w:rFonts w:ascii="Arial" w:hAnsi="Arial" w:cs="Arial"/>
                <w:b/>
                <w:i/>
                <w:sz w:val="20"/>
                <w:szCs w:val="20"/>
              </w:rPr>
              <w:t xml:space="preserve">Indicateurs de processus : </w:t>
            </w:r>
          </w:p>
          <w:p w14:paraId="3E29F819" w14:textId="77777777" w:rsidR="00F57EBC" w:rsidRPr="00F57EBC" w:rsidRDefault="00F57EBC" w:rsidP="00F57EBC">
            <w:pPr>
              <w:spacing w:line="253" w:lineRule="atLeast"/>
              <w:rPr>
                <w:rFonts w:ascii="Arial" w:hAnsi="Arial" w:cs="Arial"/>
                <w:i/>
                <w:sz w:val="20"/>
                <w:szCs w:val="20"/>
              </w:rPr>
            </w:pPr>
            <w:r w:rsidRPr="00F57EBC">
              <w:rPr>
                <w:rFonts w:ascii="Arial" w:hAnsi="Arial" w:cs="Arial"/>
                <w:i/>
                <w:sz w:val="20"/>
                <w:szCs w:val="20"/>
              </w:rPr>
              <w:t xml:space="preserve">Nombre et typologie des acteurs engagés </w:t>
            </w:r>
          </w:p>
          <w:p w14:paraId="6B1F9964" w14:textId="77777777" w:rsidR="00F57EBC" w:rsidRPr="00F57EBC" w:rsidRDefault="00F57EBC" w:rsidP="00F57EBC">
            <w:pPr>
              <w:spacing w:line="253" w:lineRule="atLeast"/>
              <w:rPr>
                <w:rFonts w:ascii="Arial" w:hAnsi="Arial" w:cs="Arial"/>
                <w:i/>
                <w:sz w:val="20"/>
                <w:szCs w:val="20"/>
              </w:rPr>
            </w:pPr>
            <w:r w:rsidRPr="00F57EBC">
              <w:rPr>
                <w:rFonts w:ascii="Arial" w:hAnsi="Arial" w:cs="Arial"/>
                <w:i/>
                <w:sz w:val="20"/>
                <w:szCs w:val="20"/>
              </w:rPr>
              <w:t xml:space="preserve">Réalisation de l’état des lieux </w:t>
            </w:r>
          </w:p>
          <w:p w14:paraId="364C8804" w14:textId="77777777" w:rsidR="00F57EBC" w:rsidRPr="00F57EBC" w:rsidRDefault="00F57EBC" w:rsidP="00F57EBC">
            <w:pPr>
              <w:spacing w:line="253" w:lineRule="atLeast"/>
              <w:rPr>
                <w:rFonts w:ascii="Arial" w:hAnsi="Arial" w:cs="Arial"/>
                <w:i/>
                <w:sz w:val="20"/>
                <w:szCs w:val="20"/>
              </w:rPr>
            </w:pPr>
            <w:r w:rsidRPr="00F57EBC">
              <w:rPr>
                <w:rFonts w:ascii="Arial" w:hAnsi="Arial" w:cs="Arial"/>
                <w:i/>
                <w:sz w:val="20"/>
                <w:szCs w:val="20"/>
              </w:rPr>
              <w:t>Rencontre avec des médecins généralistes</w:t>
            </w:r>
          </w:p>
          <w:p w14:paraId="310AD081" w14:textId="77777777" w:rsidR="00F57EBC" w:rsidRPr="00F57EBC" w:rsidRDefault="00F57EBC" w:rsidP="00F57EBC">
            <w:pPr>
              <w:spacing w:line="253" w:lineRule="atLeast"/>
              <w:rPr>
                <w:rFonts w:ascii="Arial" w:hAnsi="Arial" w:cs="Arial"/>
                <w:b/>
                <w:i/>
                <w:sz w:val="20"/>
                <w:szCs w:val="20"/>
              </w:rPr>
            </w:pPr>
          </w:p>
          <w:p w14:paraId="06EDB08B" w14:textId="77777777" w:rsidR="00F57EBC" w:rsidRPr="00F57EBC" w:rsidRDefault="00F57EBC" w:rsidP="00F57EBC">
            <w:pPr>
              <w:spacing w:line="253" w:lineRule="atLeast"/>
              <w:rPr>
                <w:rFonts w:ascii="Arial" w:hAnsi="Arial" w:cs="Arial"/>
                <w:b/>
                <w:i/>
                <w:sz w:val="20"/>
                <w:szCs w:val="20"/>
              </w:rPr>
            </w:pPr>
            <w:r w:rsidRPr="00F57EBC">
              <w:rPr>
                <w:rFonts w:ascii="Arial" w:hAnsi="Arial" w:cs="Arial"/>
                <w:b/>
                <w:i/>
                <w:sz w:val="20"/>
                <w:szCs w:val="20"/>
              </w:rPr>
              <w:t xml:space="preserve">Indicateurs de résultat : </w:t>
            </w:r>
          </w:p>
          <w:p w14:paraId="679A8981" w14:textId="77777777" w:rsidR="00F57EBC" w:rsidRPr="00F57EBC" w:rsidRDefault="00F57EBC" w:rsidP="00F57EBC">
            <w:pPr>
              <w:spacing w:line="253" w:lineRule="atLeast"/>
              <w:rPr>
                <w:rFonts w:ascii="Arial" w:hAnsi="Arial" w:cs="Arial"/>
                <w:i/>
                <w:sz w:val="20"/>
                <w:szCs w:val="20"/>
              </w:rPr>
            </w:pPr>
            <w:r w:rsidRPr="00F57EBC">
              <w:rPr>
                <w:rFonts w:ascii="Arial" w:hAnsi="Arial" w:cs="Arial"/>
                <w:i/>
                <w:sz w:val="20"/>
                <w:szCs w:val="20"/>
              </w:rPr>
              <w:t xml:space="preserve">Nombre de médecins généralistes accueillants des stagiaires </w:t>
            </w:r>
          </w:p>
          <w:p w14:paraId="2E99FEDE" w14:textId="77777777" w:rsidR="00F57EBC" w:rsidRPr="00F57EBC" w:rsidRDefault="00F57EBC" w:rsidP="00F57EBC">
            <w:pPr>
              <w:spacing w:line="253" w:lineRule="atLeast"/>
              <w:rPr>
                <w:rFonts w:ascii="Arial" w:hAnsi="Arial" w:cs="Arial"/>
                <w:i/>
                <w:sz w:val="20"/>
                <w:szCs w:val="20"/>
              </w:rPr>
            </w:pPr>
            <w:r w:rsidRPr="00F57EBC">
              <w:rPr>
                <w:rFonts w:ascii="Arial" w:hAnsi="Arial" w:cs="Arial"/>
                <w:i/>
                <w:sz w:val="20"/>
                <w:szCs w:val="20"/>
              </w:rPr>
              <w:t xml:space="preserve">Développement de l’offre de stage </w:t>
            </w:r>
          </w:p>
          <w:p w14:paraId="64D35ECA" w14:textId="77777777" w:rsidR="00F57EBC" w:rsidRPr="00F57EBC" w:rsidRDefault="00F57EBC" w:rsidP="00F57EBC">
            <w:pPr>
              <w:spacing w:line="253" w:lineRule="atLeast"/>
              <w:rPr>
                <w:rFonts w:ascii="Arial" w:hAnsi="Arial" w:cs="Arial"/>
                <w:b/>
                <w:i/>
                <w:sz w:val="20"/>
                <w:szCs w:val="20"/>
              </w:rPr>
            </w:pPr>
          </w:p>
          <w:p w14:paraId="70270FA8" w14:textId="1BE86AEA" w:rsidR="00562D16" w:rsidRDefault="00F57EBC" w:rsidP="00F57EBC">
            <w:pPr>
              <w:spacing w:line="253" w:lineRule="atLeast"/>
              <w:rPr>
                <w:rFonts w:ascii="Arial" w:eastAsia="Times New Roman" w:hAnsi="Arial" w:cs="Arial"/>
                <w:bCs/>
                <w:i/>
                <w:sz w:val="20"/>
                <w:szCs w:val="20"/>
                <w:lang w:eastAsia="fr-FR"/>
              </w:rPr>
            </w:pPr>
            <w:r w:rsidRPr="00F57EBC">
              <w:rPr>
                <w:rFonts w:ascii="Arial" w:hAnsi="Arial" w:cs="Arial"/>
                <w:b/>
                <w:i/>
                <w:sz w:val="20"/>
                <w:szCs w:val="20"/>
              </w:rPr>
              <w:t xml:space="preserve">Indicateur d’impact : </w:t>
            </w:r>
            <w:r w:rsidRPr="00F57EBC">
              <w:rPr>
                <w:rFonts w:ascii="Arial" w:hAnsi="Arial" w:cs="Arial"/>
                <w:i/>
                <w:sz w:val="20"/>
                <w:szCs w:val="20"/>
              </w:rPr>
              <w:t>Attractivité du territoire pour les professions médicales</w:t>
            </w:r>
          </w:p>
          <w:p w14:paraId="25909C44" w14:textId="77777777" w:rsidR="00562D16" w:rsidRDefault="00562D16" w:rsidP="00F16670">
            <w:pPr>
              <w:spacing w:line="253" w:lineRule="atLeast"/>
              <w:rPr>
                <w:rFonts w:ascii="Arial" w:eastAsia="Times New Roman" w:hAnsi="Arial" w:cs="Arial"/>
                <w:b/>
                <w:bCs/>
                <w:i/>
                <w:sz w:val="20"/>
                <w:szCs w:val="20"/>
                <w:lang w:eastAsia="fr-FR"/>
              </w:rPr>
            </w:pPr>
            <w:r w:rsidRPr="00562D16">
              <w:rPr>
                <w:rFonts w:ascii="Arial" w:eastAsia="Times New Roman" w:hAnsi="Arial" w:cs="Arial"/>
                <w:b/>
                <w:bCs/>
                <w:i/>
                <w:sz w:val="20"/>
                <w:szCs w:val="20"/>
                <w:lang w:eastAsia="fr-FR"/>
              </w:rPr>
              <w:t>Méthode d’évaluation envisagée :</w:t>
            </w:r>
          </w:p>
          <w:p w14:paraId="37C79679" w14:textId="77777777" w:rsidR="00EA7DFE" w:rsidRPr="00562D16" w:rsidRDefault="00EA7DFE" w:rsidP="00F16670">
            <w:pPr>
              <w:spacing w:line="253" w:lineRule="atLeast"/>
              <w:rPr>
                <w:rFonts w:ascii="Arial" w:eastAsia="Times New Roman" w:hAnsi="Arial" w:cs="Arial"/>
                <w:b/>
                <w:bCs/>
                <w:i/>
                <w:sz w:val="20"/>
                <w:szCs w:val="20"/>
                <w:lang w:eastAsia="fr-FR"/>
              </w:rPr>
            </w:pPr>
          </w:p>
        </w:tc>
      </w:tr>
      <w:bookmarkEnd w:id="0"/>
    </w:tbl>
    <w:p w14:paraId="1E6375CF" w14:textId="77777777" w:rsidR="00C55AAD" w:rsidRPr="007006B6" w:rsidRDefault="00C55AAD" w:rsidP="00CB54D6">
      <w:pPr>
        <w:spacing w:after="0" w:line="260" w:lineRule="atLeast"/>
        <w:rPr>
          <w:i/>
          <w:color w:val="7F7F7F" w:themeColor="text1" w:themeTint="80"/>
          <w:sz w:val="24"/>
          <w:highlight w:val="magenta"/>
        </w:rPr>
      </w:pPr>
    </w:p>
    <w:sectPr w:rsidR="00C55AAD" w:rsidRPr="007006B6" w:rsidSect="003211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9C788" w14:textId="77777777" w:rsidR="00443A85" w:rsidRDefault="00443A85" w:rsidP="000F65D0">
      <w:pPr>
        <w:spacing w:after="0" w:line="240" w:lineRule="auto"/>
      </w:pPr>
      <w:r>
        <w:separator/>
      </w:r>
    </w:p>
  </w:endnote>
  <w:endnote w:type="continuationSeparator" w:id="0">
    <w:p w14:paraId="7D7ED5DD" w14:textId="77777777" w:rsidR="00443A85" w:rsidRDefault="00443A85"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326D" w14:textId="77777777" w:rsidR="00BA59FE" w:rsidRPr="00697F84" w:rsidRDefault="00BA59FE"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AAB42" w14:textId="77777777" w:rsidR="00443A85" w:rsidRDefault="00443A85" w:rsidP="000F65D0">
      <w:pPr>
        <w:spacing w:after="0" w:line="240" w:lineRule="auto"/>
      </w:pPr>
      <w:r>
        <w:separator/>
      </w:r>
    </w:p>
  </w:footnote>
  <w:footnote w:type="continuationSeparator" w:id="0">
    <w:p w14:paraId="7462AD23" w14:textId="77777777" w:rsidR="00443A85" w:rsidRDefault="00443A85"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7BE"/>
    <w:multiLevelType w:val="hybridMultilevel"/>
    <w:tmpl w:val="4EE89E30"/>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1" w15:restartNumberingAfterBreak="0">
    <w:nsid w:val="26AC554F"/>
    <w:multiLevelType w:val="hybridMultilevel"/>
    <w:tmpl w:val="851641FE"/>
    <w:lvl w:ilvl="0" w:tplc="EE06E22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1D13F4"/>
    <w:multiLevelType w:val="hybridMultilevel"/>
    <w:tmpl w:val="779C3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4F7A8E"/>
    <w:multiLevelType w:val="hybridMultilevel"/>
    <w:tmpl w:val="F9DAD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1C08F8"/>
    <w:multiLevelType w:val="hybridMultilevel"/>
    <w:tmpl w:val="A6EE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970FBB"/>
    <w:multiLevelType w:val="hybridMultilevel"/>
    <w:tmpl w:val="DCF4324E"/>
    <w:lvl w:ilvl="0" w:tplc="EB8035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5C271790"/>
    <w:multiLevelType w:val="hybridMultilevel"/>
    <w:tmpl w:val="C96CC8EA"/>
    <w:lvl w:ilvl="0" w:tplc="E7C40A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1A6BEA"/>
    <w:multiLevelType w:val="hybridMultilevel"/>
    <w:tmpl w:val="779C3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D6F3084"/>
    <w:multiLevelType w:val="hybridMultilevel"/>
    <w:tmpl w:val="D390BAD8"/>
    <w:lvl w:ilvl="0" w:tplc="E4960E2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590771"/>
    <w:multiLevelType w:val="hybridMultilevel"/>
    <w:tmpl w:val="84C86D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632771"/>
    <w:multiLevelType w:val="multilevel"/>
    <w:tmpl w:val="CCA08C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34794A"/>
    <w:multiLevelType w:val="hybridMultilevel"/>
    <w:tmpl w:val="12D855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C134341"/>
    <w:multiLevelType w:val="hybridMultilevel"/>
    <w:tmpl w:val="23DC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2"/>
  </w:num>
  <w:num w:numId="4">
    <w:abstractNumId w:val="6"/>
  </w:num>
  <w:num w:numId="5">
    <w:abstractNumId w:val="0"/>
  </w:num>
  <w:num w:numId="6">
    <w:abstractNumId w:val="7"/>
  </w:num>
  <w:num w:numId="7">
    <w:abstractNumId w:val="10"/>
  </w:num>
  <w:num w:numId="8">
    <w:abstractNumId w:val="9"/>
  </w:num>
  <w:num w:numId="9">
    <w:abstractNumId w:val="2"/>
  </w:num>
  <w:num w:numId="10">
    <w:abstractNumId w:val="8"/>
  </w:num>
  <w:num w:numId="11">
    <w:abstractNumId w:val="1"/>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275F3"/>
    <w:rsid w:val="000369F8"/>
    <w:rsid w:val="000415CE"/>
    <w:rsid w:val="000467C4"/>
    <w:rsid w:val="000663A6"/>
    <w:rsid w:val="0007266E"/>
    <w:rsid w:val="00081313"/>
    <w:rsid w:val="0009071D"/>
    <w:rsid w:val="00092B06"/>
    <w:rsid w:val="00095BF8"/>
    <w:rsid w:val="000B410A"/>
    <w:rsid w:val="000D20D5"/>
    <w:rsid w:val="000F65D0"/>
    <w:rsid w:val="001250CA"/>
    <w:rsid w:val="00132058"/>
    <w:rsid w:val="001345EC"/>
    <w:rsid w:val="001361D6"/>
    <w:rsid w:val="00143098"/>
    <w:rsid w:val="00144008"/>
    <w:rsid w:val="001514A1"/>
    <w:rsid w:val="00155A3B"/>
    <w:rsid w:val="00157975"/>
    <w:rsid w:val="001772B5"/>
    <w:rsid w:val="001A363E"/>
    <w:rsid w:val="001A701D"/>
    <w:rsid w:val="001B0379"/>
    <w:rsid w:val="001B0629"/>
    <w:rsid w:val="001B5676"/>
    <w:rsid w:val="001B66A4"/>
    <w:rsid w:val="001D2B35"/>
    <w:rsid w:val="001D3C27"/>
    <w:rsid w:val="001D5A64"/>
    <w:rsid w:val="001E7555"/>
    <w:rsid w:val="001F3366"/>
    <w:rsid w:val="00200CC5"/>
    <w:rsid w:val="00220C2D"/>
    <w:rsid w:val="00232B63"/>
    <w:rsid w:val="00232D46"/>
    <w:rsid w:val="002369FA"/>
    <w:rsid w:val="00236FB1"/>
    <w:rsid w:val="00267ABF"/>
    <w:rsid w:val="0027785F"/>
    <w:rsid w:val="00283654"/>
    <w:rsid w:val="002A03EA"/>
    <w:rsid w:val="002B2249"/>
    <w:rsid w:val="002B64AB"/>
    <w:rsid w:val="002C3F5E"/>
    <w:rsid w:val="002C41C2"/>
    <w:rsid w:val="002C5D0C"/>
    <w:rsid w:val="002C77A6"/>
    <w:rsid w:val="002E030B"/>
    <w:rsid w:val="002E571E"/>
    <w:rsid w:val="002F373E"/>
    <w:rsid w:val="002F799F"/>
    <w:rsid w:val="00302BF2"/>
    <w:rsid w:val="00303F67"/>
    <w:rsid w:val="0031277A"/>
    <w:rsid w:val="00317EE6"/>
    <w:rsid w:val="003211AB"/>
    <w:rsid w:val="00325822"/>
    <w:rsid w:val="00352598"/>
    <w:rsid w:val="00354DE9"/>
    <w:rsid w:val="0036710F"/>
    <w:rsid w:val="0037759A"/>
    <w:rsid w:val="0039458C"/>
    <w:rsid w:val="003B3017"/>
    <w:rsid w:val="003B50D4"/>
    <w:rsid w:val="003C1972"/>
    <w:rsid w:val="003C5A06"/>
    <w:rsid w:val="003C7858"/>
    <w:rsid w:val="003D3A7D"/>
    <w:rsid w:val="003D7039"/>
    <w:rsid w:val="003E06AB"/>
    <w:rsid w:val="003E6827"/>
    <w:rsid w:val="003F4186"/>
    <w:rsid w:val="00406721"/>
    <w:rsid w:val="00413208"/>
    <w:rsid w:val="004205F4"/>
    <w:rsid w:val="0042682E"/>
    <w:rsid w:val="004427C2"/>
    <w:rsid w:val="004438EA"/>
    <w:rsid w:val="00443A85"/>
    <w:rsid w:val="004538FE"/>
    <w:rsid w:val="00454C16"/>
    <w:rsid w:val="0046751A"/>
    <w:rsid w:val="00470F3C"/>
    <w:rsid w:val="00485C93"/>
    <w:rsid w:val="00493814"/>
    <w:rsid w:val="00497CC6"/>
    <w:rsid w:val="004B09AF"/>
    <w:rsid w:val="004D2233"/>
    <w:rsid w:val="004E1C6D"/>
    <w:rsid w:val="004E3FC8"/>
    <w:rsid w:val="00501CAE"/>
    <w:rsid w:val="00514B68"/>
    <w:rsid w:val="00520A61"/>
    <w:rsid w:val="005259C1"/>
    <w:rsid w:val="005279BE"/>
    <w:rsid w:val="005424C3"/>
    <w:rsid w:val="00562D16"/>
    <w:rsid w:val="00565122"/>
    <w:rsid w:val="0057104E"/>
    <w:rsid w:val="00575F7C"/>
    <w:rsid w:val="00581B8F"/>
    <w:rsid w:val="005843B6"/>
    <w:rsid w:val="0058636E"/>
    <w:rsid w:val="00587D2A"/>
    <w:rsid w:val="00590386"/>
    <w:rsid w:val="005B3191"/>
    <w:rsid w:val="005B45F0"/>
    <w:rsid w:val="005C4530"/>
    <w:rsid w:val="005C6B90"/>
    <w:rsid w:val="005D223B"/>
    <w:rsid w:val="005E0E8C"/>
    <w:rsid w:val="005E3E50"/>
    <w:rsid w:val="005F154C"/>
    <w:rsid w:val="005F1C88"/>
    <w:rsid w:val="00603E4F"/>
    <w:rsid w:val="006075C2"/>
    <w:rsid w:val="006103D7"/>
    <w:rsid w:val="0062755D"/>
    <w:rsid w:val="00635DD5"/>
    <w:rsid w:val="00642029"/>
    <w:rsid w:val="00645F05"/>
    <w:rsid w:val="00667A06"/>
    <w:rsid w:val="00683C9E"/>
    <w:rsid w:val="00697F84"/>
    <w:rsid w:val="006C222A"/>
    <w:rsid w:val="006E1CBC"/>
    <w:rsid w:val="006E7AC4"/>
    <w:rsid w:val="006E7EA4"/>
    <w:rsid w:val="006F6247"/>
    <w:rsid w:val="007006B6"/>
    <w:rsid w:val="0070294D"/>
    <w:rsid w:val="0072428A"/>
    <w:rsid w:val="00735816"/>
    <w:rsid w:val="00737BD8"/>
    <w:rsid w:val="007452AB"/>
    <w:rsid w:val="00765FA6"/>
    <w:rsid w:val="007755E8"/>
    <w:rsid w:val="007A2C05"/>
    <w:rsid w:val="007A43F5"/>
    <w:rsid w:val="007C085A"/>
    <w:rsid w:val="007C6079"/>
    <w:rsid w:val="007C733F"/>
    <w:rsid w:val="007D344D"/>
    <w:rsid w:val="007F5BDF"/>
    <w:rsid w:val="007F5EE5"/>
    <w:rsid w:val="00810FDC"/>
    <w:rsid w:val="008124C7"/>
    <w:rsid w:val="0083674A"/>
    <w:rsid w:val="0084326F"/>
    <w:rsid w:val="0085174A"/>
    <w:rsid w:val="0085285D"/>
    <w:rsid w:val="00853973"/>
    <w:rsid w:val="00867184"/>
    <w:rsid w:val="00880675"/>
    <w:rsid w:val="00892A3E"/>
    <w:rsid w:val="008955BD"/>
    <w:rsid w:val="008B1140"/>
    <w:rsid w:val="008C496C"/>
    <w:rsid w:val="008C77A6"/>
    <w:rsid w:val="008D08A8"/>
    <w:rsid w:val="008D6145"/>
    <w:rsid w:val="008D747C"/>
    <w:rsid w:val="008E00F9"/>
    <w:rsid w:val="008E2932"/>
    <w:rsid w:val="008E35E9"/>
    <w:rsid w:val="0090054A"/>
    <w:rsid w:val="0090317F"/>
    <w:rsid w:val="0091435A"/>
    <w:rsid w:val="009302A4"/>
    <w:rsid w:val="00930C40"/>
    <w:rsid w:val="00931A42"/>
    <w:rsid w:val="009507D8"/>
    <w:rsid w:val="00960EB5"/>
    <w:rsid w:val="00993EAA"/>
    <w:rsid w:val="00996C61"/>
    <w:rsid w:val="009B2256"/>
    <w:rsid w:val="009D1504"/>
    <w:rsid w:val="009D2C12"/>
    <w:rsid w:val="009E216D"/>
    <w:rsid w:val="009E3C5B"/>
    <w:rsid w:val="009E5171"/>
    <w:rsid w:val="00A05F6F"/>
    <w:rsid w:val="00A06420"/>
    <w:rsid w:val="00A064B3"/>
    <w:rsid w:val="00A066C1"/>
    <w:rsid w:val="00A12491"/>
    <w:rsid w:val="00A17758"/>
    <w:rsid w:val="00A26463"/>
    <w:rsid w:val="00A35419"/>
    <w:rsid w:val="00A44738"/>
    <w:rsid w:val="00A50A11"/>
    <w:rsid w:val="00A52410"/>
    <w:rsid w:val="00A57895"/>
    <w:rsid w:val="00A65EA5"/>
    <w:rsid w:val="00A8116A"/>
    <w:rsid w:val="00A84D22"/>
    <w:rsid w:val="00A853BA"/>
    <w:rsid w:val="00A85539"/>
    <w:rsid w:val="00A91263"/>
    <w:rsid w:val="00A95222"/>
    <w:rsid w:val="00AA64E8"/>
    <w:rsid w:val="00AB46F7"/>
    <w:rsid w:val="00AC4EAF"/>
    <w:rsid w:val="00AC64C8"/>
    <w:rsid w:val="00AE0A60"/>
    <w:rsid w:val="00B20BBB"/>
    <w:rsid w:val="00B30CB5"/>
    <w:rsid w:val="00B3589D"/>
    <w:rsid w:val="00B5272C"/>
    <w:rsid w:val="00B6113B"/>
    <w:rsid w:val="00B63045"/>
    <w:rsid w:val="00B63C78"/>
    <w:rsid w:val="00B77E55"/>
    <w:rsid w:val="00B90206"/>
    <w:rsid w:val="00BA28B9"/>
    <w:rsid w:val="00BA59FE"/>
    <w:rsid w:val="00BA67BA"/>
    <w:rsid w:val="00BB4009"/>
    <w:rsid w:val="00BB46BC"/>
    <w:rsid w:val="00BC1EC3"/>
    <w:rsid w:val="00BC68A1"/>
    <w:rsid w:val="00BD43A8"/>
    <w:rsid w:val="00BD6522"/>
    <w:rsid w:val="00C00B27"/>
    <w:rsid w:val="00C02391"/>
    <w:rsid w:val="00C064B1"/>
    <w:rsid w:val="00C108AC"/>
    <w:rsid w:val="00C20F50"/>
    <w:rsid w:val="00C24B6E"/>
    <w:rsid w:val="00C41F58"/>
    <w:rsid w:val="00C55AAD"/>
    <w:rsid w:val="00C64A31"/>
    <w:rsid w:val="00C66B41"/>
    <w:rsid w:val="00C67C76"/>
    <w:rsid w:val="00C861E6"/>
    <w:rsid w:val="00CA1996"/>
    <w:rsid w:val="00CA5EAF"/>
    <w:rsid w:val="00CB0C23"/>
    <w:rsid w:val="00CB1869"/>
    <w:rsid w:val="00CB2089"/>
    <w:rsid w:val="00CB54D6"/>
    <w:rsid w:val="00CE2A16"/>
    <w:rsid w:val="00CF332C"/>
    <w:rsid w:val="00CF4089"/>
    <w:rsid w:val="00CF5A01"/>
    <w:rsid w:val="00D06A10"/>
    <w:rsid w:val="00D071F9"/>
    <w:rsid w:val="00D207A0"/>
    <w:rsid w:val="00D26527"/>
    <w:rsid w:val="00D26567"/>
    <w:rsid w:val="00D32FEA"/>
    <w:rsid w:val="00D515D0"/>
    <w:rsid w:val="00D6315F"/>
    <w:rsid w:val="00D857D5"/>
    <w:rsid w:val="00D918EE"/>
    <w:rsid w:val="00D9224D"/>
    <w:rsid w:val="00D93E1D"/>
    <w:rsid w:val="00D97F22"/>
    <w:rsid w:val="00DB1DCC"/>
    <w:rsid w:val="00DC5BF0"/>
    <w:rsid w:val="00DD41B9"/>
    <w:rsid w:val="00DE7211"/>
    <w:rsid w:val="00E22823"/>
    <w:rsid w:val="00E30D9A"/>
    <w:rsid w:val="00E4089D"/>
    <w:rsid w:val="00E42C22"/>
    <w:rsid w:val="00E4698A"/>
    <w:rsid w:val="00E6218E"/>
    <w:rsid w:val="00E71DC1"/>
    <w:rsid w:val="00E92D2D"/>
    <w:rsid w:val="00EA7DFE"/>
    <w:rsid w:val="00EB1BBA"/>
    <w:rsid w:val="00EC51E6"/>
    <w:rsid w:val="00ED0575"/>
    <w:rsid w:val="00EE1636"/>
    <w:rsid w:val="00EE519C"/>
    <w:rsid w:val="00F008ED"/>
    <w:rsid w:val="00F16670"/>
    <w:rsid w:val="00F4306F"/>
    <w:rsid w:val="00F47D59"/>
    <w:rsid w:val="00F56621"/>
    <w:rsid w:val="00F57EBC"/>
    <w:rsid w:val="00F67A8A"/>
    <w:rsid w:val="00F71D52"/>
    <w:rsid w:val="00F743EE"/>
    <w:rsid w:val="00F77CFC"/>
    <w:rsid w:val="00F91A39"/>
    <w:rsid w:val="00F940FE"/>
    <w:rsid w:val="00FA242B"/>
    <w:rsid w:val="00FB0EB1"/>
    <w:rsid w:val="00FC2812"/>
    <w:rsid w:val="00FC6EC5"/>
    <w:rsid w:val="00FD37FB"/>
    <w:rsid w:val="00FE0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4EE1"/>
  <w15:docId w15:val="{23A56593-BA81-4277-8CB1-8C85473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paragraph" w:styleId="Paragraphedeliste">
    <w:name w:val="List Paragraph"/>
    <w:basedOn w:val="Normal"/>
    <w:uiPriority w:val="34"/>
    <w:qFormat/>
    <w:rsid w:val="00CF332C"/>
    <w:pPr>
      <w:ind w:left="720"/>
      <w:contextualSpacing/>
    </w:pPr>
  </w:style>
  <w:style w:type="character" w:styleId="lev">
    <w:name w:val="Strong"/>
    <w:basedOn w:val="Policepardfaut"/>
    <w:uiPriority w:val="22"/>
    <w:qFormat/>
    <w:rsid w:val="00A84D22"/>
    <w:rPr>
      <w:b/>
      <w:bCs/>
    </w:rPr>
  </w:style>
  <w:style w:type="character" w:styleId="Lienhypertexte">
    <w:name w:val="Hyperlink"/>
    <w:basedOn w:val="Policepardfaut"/>
    <w:uiPriority w:val="99"/>
    <w:unhideWhenUsed/>
    <w:rsid w:val="000663A6"/>
    <w:rPr>
      <w:color w:val="0000FF"/>
      <w:u w:val="single"/>
    </w:rPr>
  </w:style>
  <w:style w:type="character" w:customStyle="1" w:styleId="Mentionnonrsolue1">
    <w:name w:val="Mention non résolue1"/>
    <w:basedOn w:val="Policepardfaut"/>
    <w:uiPriority w:val="99"/>
    <w:semiHidden/>
    <w:unhideWhenUsed/>
    <w:rsid w:val="0027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575671898">
      <w:bodyDiv w:val="1"/>
      <w:marLeft w:val="0"/>
      <w:marRight w:val="0"/>
      <w:marTop w:val="0"/>
      <w:marBottom w:val="0"/>
      <w:divBdr>
        <w:top w:val="none" w:sz="0" w:space="0" w:color="auto"/>
        <w:left w:val="none" w:sz="0" w:space="0" w:color="auto"/>
        <w:bottom w:val="none" w:sz="0" w:space="0" w:color="auto"/>
        <w:right w:val="none" w:sz="0" w:space="0" w:color="auto"/>
      </w:divBdr>
    </w:div>
    <w:div w:id="983004341">
      <w:bodyDiv w:val="1"/>
      <w:marLeft w:val="0"/>
      <w:marRight w:val="0"/>
      <w:marTop w:val="0"/>
      <w:marBottom w:val="0"/>
      <w:divBdr>
        <w:top w:val="none" w:sz="0" w:space="0" w:color="auto"/>
        <w:left w:val="none" w:sz="0" w:space="0" w:color="auto"/>
        <w:bottom w:val="none" w:sz="0" w:space="0" w:color="auto"/>
        <w:right w:val="none" w:sz="0" w:space="0" w:color="auto"/>
      </w:divBdr>
    </w:div>
    <w:div w:id="1135216085">
      <w:bodyDiv w:val="1"/>
      <w:marLeft w:val="0"/>
      <w:marRight w:val="0"/>
      <w:marTop w:val="0"/>
      <w:marBottom w:val="0"/>
      <w:divBdr>
        <w:top w:val="none" w:sz="0" w:space="0" w:color="auto"/>
        <w:left w:val="none" w:sz="0" w:space="0" w:color="auto"/>
        <w:bottom w:val="none" w:sz="0" w:space="0" w:color="auto"/>
        <w:right w:val="none" w:sz="0" w:space="0" w:color="auto"/>
      </w:divBdr>
    </w:div>
    <w:div w:id="1179349621">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8345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2422BA"/>
    <w:rsid w:val="00292995"/>
    <w:rsid w:val="00461B3A"/>
    <w:rsid w:val="004A0CE2"/>
    <w:rsid w:val="00600894"/>
    <w:rsid w:val="006A25DD"/>
    <w:rsid w:val="0070219A"/>
    <w:rsid w:val="007D6325"/>
    <w:rsid w:val="007F6977"/>
    <w:rsid w:val="008624D3"/>
    <w:rsid w:val="00880E1B"/>
    <w:rsid w:val="008E0070"/>
    <w:rsid w:val="009B4F8E"/>
    <w:rsid w:val="009C782F"/>
    <w:rsid w:val="009D2B51"/>
    <w:rsid w:val="00A12EAD"/>
    <w:rsid w:val="00BC1AB3"/>
    <w:rsid w:val="00CF0536"/>
    <w:rsid w:val="00D071F9"/>
    <w:rsid w:val="00D52621"/>
    <w:rsid w:val="00E21CF5"/>
    <w:rsid w:val="00E84E5F"/>
    <w:rsid w:val="00E85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F833D-63B6-4C9E-9A8D-C48CDAB9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1325</Words>
  <Characters>7291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cp:lastModifiedBy>
  <cp:revision>26</cp:revision>
  <cp:lastPrinted>2019-09-16T13:02:00Z</cp:lastPrinted>
  <dcterms:created xsi:type="dcterms:W3CDTF">2025-03-14T10:42:00Z</dcterms:created>
  <dcterms:modified xsi:type="dcterms:W3CDTF">2025-05-05T14:39:00Z</dcterms:modified>
</cp:coreProperties>
</file>