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jc w:val="center"/>
        <w:tblCellMar>
          <w:top w:w="57" w:type="dxa"/>
          <w:bottom w:w="57" w:type="dxa"/>
        </w:tblCellMar>
        <w:tblLook w:val="04A0" w:firstRow="1" w:lastRow="0" w:firstColumn="1" w:lastColumn="0" w:noHBand="0" w:noVBand="1"/>
      </w:tblPr>
      <w:tblGrid>
        <w:gridCol w:w="2547"/>
        <w:gridCol w:w="1701"/>
        <w:gridCol w:w="88"/>
        <w:gridCol w:w="1697"/>
        <w:gridCol w:w="3487"/>
      </w:tblGrid>
      <w:tr w:rsidR="00DC5BF0" w:rsidRPr="00697F84" w:rsidTr="00A95222">
        <w:trPr>
          <w:trHeight w:val="641"/>
          <w:jc w:val="center"/>
        </w:trPr>
        <w:tc>
          <w:tcPr>
            <w:tcW w:w="2547" w:type="dxa"/>
            <w:tcBorders>
              <w:bottom w:val="single" w:sz="4" w:space="0" w:color="auto"/>
            </w:tcBorders>
            <w:shd w:val="clear" w:color="auto" w:fill="FFFFFF" w:themeFill="background1"/>
            <w:vAlign w:val="center"/>
          </w:tcPr>
          <w:p w:rsidR="00DC5BF0" w:rsidRPr="00EE1636" w:rsidRDefault="00B3589D" w:rsidP="00D9224D">
            <w:bookmarkStart w:id="0" w:name="_Hlk193712811"/>
            <w:r w:rsidRPr="00EE1636">
              <w:t>Action</w:t>
            </w:r>
            <w:r w:rsidR="001F3366" w:rsidRPr="00EE1636">
              <w:t xml:space="preserve"> </w:t>
            </w:r>
            <w:r w:rsidR="00D9224D">
              <w:t>n°</w:t>
            </w:r>
            <w:r w:rsidR="0077518F">
              <w:t>16</w:t>
            </w:r>
          </w:p>
        </w:tc>
        <w:tc>
          <w:tcPr>
            <w:tcW w:w="6973" w:type="dxa"/>
            <w:gridSpan w:val="4"/>
            <w:tcBorders>
              <w:bottom w:val="single" w:sz="4" w:space="0" w:color="auto"/>
            </w:tcBorders>
            <w:shd w:val="clear" w:color="auto" w:fill="FFFFFF" w:themeFill="background1"/>
            <w:vAlign w:val="center"/>
          </w:tcPr>
          <w:p w:rsidR="00CF5A01" w:rsidRPr="00BA59FE" w:rsidRDefault="0003703E" w:rsidP="008B1140">
            <w:pPr>
              <w:jc w:val="center"/>
              <w:rPr>
                <w:rFonts w:ascii="Helvetica" w:hAnsi="Helvetica" w:cs="Helvetica"/>
                <w:b/>
                <w:color w:val="000000"/>
                <w:shd w:val="clear" w:color="auto" w:fill="FFFFFF"/>
              </w:rPr>
            </w:pPr>
            <w:r>
              <w:rPr>
                <w:rFonts w:ascii="Helvetica" w:hAnsi="Helvetica" w:cs="Helvetica"/>
                <w:b/>
                <w:color w:val="000000"/>
                <w:shd w:val="clear" w:color="auto" w:fill="FFFFFF"/>
              </w:rPr>
              <w:t>Les exercices coordonnés</w:t>
            </w:r>
          </w:p>
        </w:tc>
      </w:tr>
      <w:tr w:rsidR="00BA67BA" w:rsidRPr="00697F84" w:rsidTr="00EE1636">
        <w:trPr>
          <w:jc w:val="center"/>
        </w:trPr>
        <w:tc>
          <w:tcPr>
            <w:tcW w:w="2547" w:type="dxa"/>
            <w:tcBorders>
              <w:left w:val="nil"/>
              <w:right w:val="nil"/>
            </w:tcBorders>
            <w:shd w:val="clear" w:color="auto" w:fill="FFFFFF" w:themeFill="background1"/>
            <w:vAlign w:val="center"/>
          </w:tcPr>
          <w:p w:rsidR="00BA67BA" w:rsidRPr="00697F84" w:rsidRDefault="00BA67BA" w:rsidP="00BA67BA">
            <w:pPr>
              <w:rPr>
                <w:rFonts w:ascii="Arial" w:hAnsi="Arial" w:cs="Arial"/>
                <w:b/>
                <w:sz w:val="20"/>
                <w:szCs w:val="20"/>
              </w:rPr>
            </w:pPr>
          </w:p>
        </w:tc>
        <w:tc>
          <w:tcPr>
            <w:tcW w:w="6973" w:type="dxa"/>
            <w:gridSpan w:val="4"/>
            <w:tcBorders>
              <w:left w:val="nil"/>
              <w:right w:val="nil"/>
            </w:tcBorders>
          </w:tcPr>
          <w:p w:rsidR="00BA67BA" w:rsidRPr="00697F84" w:rsidRDefault="00BA67BA" w:rsidP="003C7858">
            <w:pPr>
              <w:jc w:val="both"/>
              <w:rPr>
                <w:rFonts w:ascii="Arial" w:hAnsi="Arial" w:cs="Arial"/>
                <w:noProof/>
                <w:sz w:val="20"/>
                <w:szCs w:val="20"/>
              </w:rPr>
            </w:pPr>
          </w:p>
        </w:tc>
      </w:tr>
      <w:tr w:rsidR="00354DE9" w:rsidRPr="00354DE9" w:rsidTr="00EE1636">
        <w:trPr>
          <w:trHeight w:val="487"/>
          <w:jc w:val="center"/>
        </w:trPr>
        <w:tc>
          <w:tcPr>
            <w:tcW w:w="2547" w:type="dxa"/>
            <w:shd w:val="clear" w:color="auto" w:fill="FFFFFF" w:themeFill="background1"/>
            <w:vAlign w:val="center"/>
          </w:tcPr>
          <w:p w:rsidR="00003907" w:rsidRPr="00354DE9" w:rsidRDefault="00003907" w:rsidP="00BA59FE">
            <w:pPr>
              <w:rPr>
                <w:rFonts w:ascii="Arial" w:hAnsi="Arial" w:cs="Arial"/>
                <w:b/>
                <w:sz w:val="20"/>
                <w:szCs w:val="20"/>
              </w:rPr>
            </w:pPr>
            <w:r w:rsidRPr="00354DE9">
              <w:rPr>
                <w:rFonts w:ascii="Arial" w:hAnsi="Arial" w:cs="Arial"/>
                <w:b/>
                <w:sz w:val="20"/>
                <w:szCs w:val="20"/>
              </w:rPr>
              <w:t xml:space="preserve">Typologie de l'action  </w:t>
            </w:r>
          </w:p>
        </w:tc>
        <w:tc>
          <w:tcPr>
            <w:tcW w:w="6973" w:type="dxa"/>
            <w:gridSpan w:val="4"/>
            <w:shd w:val="clear" w:color="auto" w:fill="auto"/>
          </w:tcPr>
          <w:p w:rsidR="002A03EA" w:rsidRDefault="00575F7C" w:rsidP="00BA59FE">
            <w:pPr>
              <w:autoSpaceDE w:val="0"/>
              <w:autoSpaceDN w:val="0"/>
              <w:adjustRightInd w:val="0"/>
              <w:rPr>
                <w:rFonts w:ascii="Arial" w:hAnsi="Arial" w:cs="Arial"/>
                <w:sz w:val="20"/>
                <w:szCs w:val="20"/>
              </w:rPr>
            </w:pPr>
            <w:r>
              <w:rPr>
                <w:rFonts w:ascii="Arial" w:hAnsi="Arial" w:cs="Arial"/>
                <w:sz w:val="20"/>
                <w:szCs w:val="20"/>
              </w:rPr>
              <w:fldChar w:fldCharType="begin">
                <w:ffData>
                  <w:name w:val="CaseACocher62"/>
                  <w:enabled/>
                  <w:calcOnExit w:val="0"/>
                  <w:checkBox>
                    <w:sizeAuto/>
                    <w:default w:val="1"/>
                  </w:checkBox>
                </w:ffData>
              </w:fldChar>
            </w:r>
            <w:bookmarkStart w:id="1" w:name="CaseACocher62"/>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bookmarkEnd w:id="1"/>
            <w:r w:rsidR="001514A1">
              <w:rPr>
                <w:rFonts w:ascii="Arial" w:hAnsi="Arial" w:cs="Arial"/>
                <w:sz w:val="20"/>
                <w:szCs w:val="20"/>
              </w:rPr>
              <w:t xml:space="preserve"> </w:t>
            </w:r>
            <w:r w:rsidR="00003907" w:rsidRPr="00354DE9">
              <w:rPr>
                <w:rFonts w:ascii="Arial" w:hAnsi="Arial" w:cs="Arial"/>
                <w:sz w:val="20"/>
                <w:szCs w:val="20"/>
              </w:rPr>
              <w:t xml:space="preserve">Nouvelle action     </w:t>
            </w:r>
            <w:r w:rsidR="001514A1">
              <w:rPr>
                <w:rFonts w:ascii="Arial" w:hAnsi="Arial" w:cs="Arial"/>
                <w:sz w:val="20"/>
                <w:szCs w:val="20"/>
              </w:rPr>
              <w:fldChar w:fldCharType="begin">
                <w:ffData>
                  <w:name w:val="CaseACocher62"/>
                  <w:enabled/>
                  <w:calcOnExit w:val="0"/>
                  <w:checkBox>
                    <w:sizeAuto/>
                    <w:default w:val="0"/>
                  </w:checkBox>
                </w:ffData>
              </w:fldChar>
            </w:r>
            <w:r w:rsidR="001514A1">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1514A1">
              <w:rPr>
                <w:rFonts w:ascii="Arial" w:hAnsi="Arial" w:cs="Arial"/>
                <w:sz w:val="20"/>
                <w:szCs w:val="20"/>
              </w:rPr>
              <w:fldChar w:fldCharType="end"/>
            </w:r>
            <w:r w:rsidR="00003907" w:rsidRPr="00354DE9">
              <w:rPr>
                <w:rFonts w:ascii="Arial" w:hAnsi="Arial" w:cs="Arial"/>
                <w:sz w:val="20"/>
                <w:szCs w:val="20"/>
              </w:rPr>
              <w:t xml:space="preserve"> </w:t>
            </w:r>
            <w:proofErr w:type="spellStart"/>
            <w:r w:rsidR="00003907" w:rsidRPr="00354DE9">
              <w:rPr>
                <w:rFonts w:ascii="Arial" w:hAnsi="Arial" w:cs="Arial"/>
                <w:sz w:val="20"/>
                <w:szCs w:val="20"/>
              </w:rPr>
              <w:t>Action</w:t>
            </w:r>
            <w:proofErr w:type="spellEnd"/>
            <w:r w:rsidR="00003907" w:rsidRPr="00354DE9">
              <w:rPr>
                <w:rFonts w:ascii="Arial" w:hAnsi="Arial" w:cs="Arial"/>
                <w:sz w:val="20"/>
                <w:szCs w:val="20"/>
              </w:rPr>
              <w:t xml:space="preserve"> expérimentale     </w:t>
            </w:r>
            <w:r w:rsidR="0039458C">
              <w:rPr>
                <w:rFonts w:ascii="Arial" w:hAnsi="Arial" w:cs="Arial"/>
                <w:sz w:val="20"/>
                <w:szCs w:val="20"/>
              </w:rPr>
              <w:fldChar w:fldCharType="begin">
                <w:ffData>
                  <w:name w:val=""/>
                  <w:enabled/>
                  <w:calcOnExit w:val="0"/>
                  <w:checkBox>
                    <w:sizeAuto/>
                    <w:default w:val="0"/>
                  </w:checkBox>
                </w:ffData>
              </w:fldChar>
            </w:r>
            <w:r w:rsidR="0039458C">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39458C">
              <w:rPr>
                <w:rFonts w:ascii="Arial" w:hAnsi="Arial" w:cs="Arial"/>
                <w:sz w:val="20"/>
                <w:szCs w:val="20"/>
              </w:rPr>
              <w:fldChar w:fldCharType="end"/>
            </w:r>
            <w:r w:rsidR="002A03EA" w:rsidRPr="00354DE9">
              <w:rPr>
                <w:rFonts w:ascii="Arial" w:hAnsi="Arial" w:cs="Arial"/>
                <w:sz w:val="20"/>
                <w:szCs w:val="20"/>
              </w:rPr>
              <w:t xml:space="preserve"> Action </w:t>
            </w:r>
            <w:r w:rsidR="002A03EA">
              <w:rPr>
                <w:rFonts w:ascii="Arial" w:hAnsi="Arial" w:cs="Arial"/>
                <w:sz w:val="20"/>
                <w:szCs w:val="20"/>
              </w:rPr>
              <w:t>Innovante</w:t>
            </w:r>
            <w:r w:rsidR="002A03EA" w:rsidRPr="00354DE9">
              <w:rPr>
                <w:rFonts w:ascii="Arial" w:hAnsi="Arial" w:cs="Arial"/>
                <w:sz w:val="20"/>
                <w:szCs w:val="20"/>
              </w:rPr>
              <w:t xml:space="preserve">     </w:t>
            </w:r>
          </w:p>
          <w:p w:rsidR="00003907" w:rsidRPr="00354DE9" w:rsidRDefault="00B30CB5" w:rsidP="002A03EA">
            <w:pPr>
              <w:autoSpaceDE w:val="0"/>
              <w:autoSpaceDN w:val="0"/>
              <w:adjustRightInd w:val="0"/>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6F6247">
              <w:rPr>
                <w:rFonts w:ascii="Arial" w:hAnsi="Arial" w:cs="Arial"/>
                <w:sz w:val="20"/>
                <w:szCs w:val="20"/>
              </w:rPr>
              <w:t xml:space="preserve"> </w:t>
            </w:r>
            <w:r w:rsidR="00003907" w:rsidRPr="00C67C76">
              <w:rPr>
                <w:rFonts w:ascii="Arial" w:hAnsi="Arial" w:cs="Arial"/>
                <w:sz w:val="20"/>
                <w:szCs w:val="20"/>
              </w:rPr>
              <w:t xml:space="preserve">Action </w:t>
            </w:r>
            <w:r w:rsidR="00697F84" w:rsidRPr="00C67C76">
              <w:rPr>
                <w:rFonts w:ascii="Arial" w:hAnsi="Arial" w:cs="Arial"/>
                <w:sz w:val="20"/>
                <w:szCs w:val="20"/>
              </w:rPr>
              <w:t>existante</w:t>
            </w:r>
            <w:r w:rsidR="00003907" w:rsidRPr="00354DE9">
              <w:rPr>
                <w:rFonts w:ascii="Arial" w:hAnsi="Arial" w:cs="Arial"/>
                <w:sz w:val="20"/>
                <w:szCs w:val="20"/>
              </w:rPr>
              <w:t xml:space="preserve"> (adaptation, extension)</w:t>
            </w:r>
            <w:r w:rsidR="0057104E" w:rsidRPr="00354DE9">
              <w:rPr>
                <w:rFonts w:ascii="Arial" w:hAnsi="Arial" w:cs="Arial"/>
                <w:sz w:val="20"/>
                <w:szCs w:val="20"/>
              </w:rPr>
              <w:t xml:space="preserve"> </w:t>
            </w:r>
          </w:p>
        </w:tc>
      </w:tr>
      <w:tr w:rsidR="00CE2A16" w:rsidRPr="00354DE9" w:rsidTr="00996C61">
        <w:trPr>
          <w:trHeight w:val="323"/>
          <w:jc w:val="center"/>
        </w:trPr>
        <w:tc>
          <w:tcPr>
            <w:tcW w:w="2547" w:type="dxa"/>
            <w:vMerge w:val="restart"/>
            <w:shd w:val="clear" w:color="auto" w:fill="auto"/>
            <w:vAlign w:val="center"/>
          </w:tcPr>
          <w:p w:rsidR="00CE2A16" w:rsidRPr="00354DE9" w:rsidRDefault="001514A1" w:rsidP="00BA59FE">
            <w:pPr>
              <w:rPr>
                <w:rFonts w:ascii="Arial" w:hAnsi="Arial" w:cs="Arial"/>
                <w:b/>
                <w:sz w:val="20"/>
                <w:szCs w:val="20"/>
              </w:rPr>
            </w:pPr>
            <w:r>
              <w:rPr>
                <w:rFonts w:ascii="Arial" w:hAnsi="Arial" w:cs="Arial"/>
                <w:b/>
                <w:sz w:val="20"/>
                <w:szCs w:val="20"/>
              </w:rPr>
              <w:t xml:space="preserve"> </w:t>
            </w:r>
            <w:r w:rsidR="00232D46">
              <w:rPr>
                <w:rFonts w:ascii="Arial" w:hAnsi="Arial" w:cs="Arial"/>
                <w:b/>
                <w:sz w:val="20"/>
                <w:szCs w:val="20"/>
              </w:rPr>
              <w:t>Porteur</w:t>
            </w:r>
          </w:p>
        </w:tc>
        <w:tc>
          <w:tcPr>
            <w:tcW w:w="1701" w:type="dxa"/>
            <w:shd w:val="clear" w:color="auto" w:fill="auto"/>
            <w:vAlign w:val="center"/>
          </w:tcPr>
          <w:p w:rsidR="00CE2A16" w:rsidRPr="00CE2A16" w:rsidRDefault="00CE2A16" w:rsidP="00CB1869">
            <w:pPr>
              <w:rPr>
                <w:rFonts w:ascii="Arial" w:hAnsi="Arial" w:cs="Arial"/>
                <w:i/>
                <w:sz w:val="18"/>
                <w:szCs w:val="18"/>
              </w:rPr>
            </w:pPr>
            <w:r w:rsidRPr="00CE2A16">
              <w:rPr>
                <w:rFonts w:ascii="Arial" w:hAnsi="Arial" w:cs="Arial"/>
                <w:i/>
                <w:sz w:val="18"/>
                <w:szCs w:val="18"/>
              </w:rPr>
              <w:t xml:space="preserve">Structure : </w:t>
            </w:r>
          </w:p>
        </w:tc>
        <w:tc>
          <w:tcPr>
            <w:tcW w:w="5272" w:type="dxa"/>
            <w:gridSpan w:val="3"/>
            <w:shd w:val="clear" w:color="auto" w:fill="auto"/>
            <w:vAlign w:val="center"/>
          </w:tcPr>
          <w:p w:rsidR="008B1140" w:rsidRPr="00CB1869" w:rsidRDefault="0003703E" w:rsidP="0091435A">
            <w:pPr>
              <w:rPr>
                <w:rFonts w:ascii="Arial" w:hAnsi="Arial" w:cs="Arial"/>
                <w:i/>
                <w:sz w:val="20"/>
                <w:szCs w:val="20"/>
              </w:rPr>
            </w:pPr>
            <w:r w:rsidRPr="0003703E">
              <w:rPr>
                <w:rFonts w:ascii="Arial" w:hAnsi="Arial" w:cs="Arial"/>
                <w:i/>
                <w:sz w:val="20"/>
                <w:szCs w:val="20"/>
              </w:rPr>
              <w:t>PETR/ARS/</w:t>
            </w:r>
            <w:proofErr w:type="spellStart"/>
            <w:r w:rsidR="00FA3D0E">
              <w:rPr>
                <w:rFonts w:ascii="Arial" w:hAnsi="Arial" w:cs="Arial"/>
                <w:i/>
                <w:sz w:val="20"/>
                <w:szCs w:val="20"/>
              </w:rPr>
              <w:t>CeA</w:t>
            </w:r>
            <w:proofErr w:type="spellEnd"/>
          </w:p>
        </w:tc>
      </w:tr>
      <w:tr w:rsidR="00CE2A16" w:rsidRPr="00354DE9" w:rsidTr="00996C61">
        <w:trPr>
          <w:trHeight w:val="322"/>
          <w:jc w:val="center"/>
        </w:trPr>
        <w:tc>
          <w:tcPr>
            <w:tcW w:w="2547" w:type="dxa"/>
            <w:vMerge/>
            <w:shd w:val="clear" w:color="auto" w:fill="auto"/>
            <w:vAlign w:val="center"/>
          </w:tcPr>
          <w:p w:rsidR="00CE2A16" w:rsidRPr="00354DE9" w:rsidRDefault="00CE2A16" w:rsidP="00BA59FE">
            <w:pPr>
              <w:rPr>
                <w:rFonts w:ascii="Arial" w:hAnsi="Arial" w:cs="Arial"/>
                <w:b/>
                <w:sz w:val="20"/>
                <w:szCs w:val="20"/>
              </w:rPr>
            </w:pPr>
          </w:p>
        </w:tc>
        <w:tc>
          <w:tcPr>
            <w:tcW w:w="1701" w:type="dxa"/>
            <w:shd w:val="clear" w:color="auto" w:fill="auto"/>
            <w:vAlign w:val="center"/>
          </w:tcPr>
          <w:p w:rsidR="00CE2A16" w:rsidRPr="002A03EA" w:rsidRDefault="00CE2A16" w:rsidP="00CE2A16">
            <w:pPr>
              <w:rPr>
                <w:rFonts w:ascii="Arial" w:hAnsi="Arial" w:cs="Arial"/>
                <w:i/>
                <w:sz w:val="18"/>
                <w:szCs w:val="18"/>
              </w:rPr>
            </w:pPr>
            <w:r w:rsidRPr="002A03EA">
              <w:rPr>
                <w:rFonts w:ascii="Arial" w:hAnsi="Arial" w:cs="Arial"/>
                <w:i/>
                <w:sz w:val="18"/>
                <w:szCs w:val="18"/>
              </w:rPr>
              <w:t>Personne référente</w:t>
            </w:r>
          </w:p>
        </w:tc>
        <w:tc>
          <w:tcPr>
            <w:tcW w:w="5272" w:type="dxa"/>
            <w:gridSpan w:val="3"/>
            <w:shd w:val="clear" w:color="auto" w:fill="auto"/>
            <w:vAlign w:val="center"/>
          </w:tcPr>
          <w:p w:rsidR="00CE2A16" w:rsidRDefault="00FA3D0E" w:rsidP="00CB1869">
            <w:pPr>
              <w:rPr>
                <w:rFonts w:ascii="Arial" w:hAnsi="Arial" w:cs="Arial"/>
                <w:i/>
                <w:sz w:val="20"/>
                <w:szCs w:val="20"/>
              </w:rPr>
            </w:pPr>
            <w:r>
              <w:rPr>
                <w:rFonts w:ascii="Arial" w:hAnsi="Arial" w:cs="Arial"/>
                <w:i/>
                <w:sz w:val="20"/>
                <w:szCs w:val="20"/>
              </w:rPr>
              <w:t xml:space="preserve">Chargée de mission santé </w:t>
            </w:r>
          </w:p>
          <w:p w:rsidR="00FA3D0E" w:rsidRDefault="00FA3D0E" w:rsidP="00CB1869">
            <w:pPr>
              <w:rPr>
                <w:rFonts w:ascii="Arial" w:hAnsi="Arial" w:cs="Arial"/>
                <w:i/>
                <w:sz w:val="20"/>
                <w:szCs w:val="20"/>
              </w:rPr>
            </w:pPr>
            <w:r>
              <w:rPr>
                <w:rFonts w:ascii="Arial" w:hAnsi="Arial" w:cs="Arial"/>
                <w:i/>
                <w:sz w:val="20"/>
                <w:szCs w:val="20"/>
              </w:rPr>
              <w:t>Animatrice territoriale</w:t>
            </w:r>
          </w:p>
          <w:p w:rsidR="0049141B" w:rsidRPr="00CB1869" w:rsidRDefault="00FA3D0E" w:rsidP="00CB1869">
            <w:pPr>
              <w:rPr>
                <w:rFonts w:ascii="Arial" w:hAnsi="Arial" w:cs="Arial"/>
                <w:i/>
                <w:sz w:val="20"/>
                <w:szCs w:val="20"/>
              </w:rPr>
            </w:pPr>
            <w:r>
              <w:rPr>
                <w:rFonts w:ascii="Arial" w:hAnsi="Arial" w:cs="Arial"/>
                <w:i/>
                <w:sz w:val="20"/>
                <w:szCs w:val="20"/>
              </w:rPr>
              <w:t>Directeur UTAMS</w:t>
            </w:r>
          </w:p>
        </w:tc>
      </w:tr>
      <w:tr w:rsidR="00354DE9" w:rsidRPr="00354DE9" w:rsidTr="00C55AAD">
        <w:trPr>
          <w:trHeight w:val="324"/>
          <w:jc w:val="center"/>
        </w:trPr>
        <w:tc>
          <w:tcPr>
            <w:tcW w:w="2547" w:type="dxa"/>
            <w:shd w:val="clear" w:color="auto" w:fill="FFFFFF" w:themeFill="background1"/>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Axe stratégique du CLS</w:t>
            </w:r>
          </w:p>
        </w:tc>
        <w:tc>
          <w:tcPr>
            <w:tcW w:w="6973" w:type="dxa"/>
            <w:gridSpan w:val="4"/>
            <w:vAlign w:val="center"/>
          </w:tcPr>
          <w:p w:rsidR="0057104E" w:rsidRPr="00F743EE" w:rsidRDefault="0003703E" w:rsidP="00D9224D">
            <w:pPr>
              <w:rPr>
                <w:rFonts w:ascii="Arial" w:hAnsi="Arial" w:cs="Arial"/>
                <w:b/>
                <w:bCs/>
                <w:sz w:val="20"/>
                <w:szCs w:val="20"/>
              </w:rPr>
            </w:pPr>
            <w:r w:rsidRPr="0003703E">
              <w:rPr>
                <w:rFonts w:ascii="Arial" w:hAnsi="Arial" w:cs="Arial"/>
                <w:b/>
                <w:bCs/>
                <w:sz w:val="20"/>
                <w:szCs w:val="20"/>
              </w:rPr>
              <w:t>Axe 3 : Faciliter l’accessibilité des soins et l’attractivité des métiers</w:t>
            </w:r>
          </w:p>
        </w:tc>
      </w:tr>
      <w:tr w:rsidR="00354DE9" w:rsidRPr="00354DE9" w:rsidTr="00C55AAD">
        <w:trPr>
          <w:trHeight w:val="600"/>
          <w:jc w:val="center"/>
        </w:trPr>
        <w:tc>
          <w:tcPr>
            <w:tcW w:w="2547" w:type="dxa"/>
            <w:shd w:val="clear" w:color="auto" w:fill="FFFFFF" w:themeFill="background1"/>
            <w:vAlign w:val="center"/>
          </w:tcPr>
          <w:p w:rsidR="009E5171" w:rsidRPr="00354DE9" w:rsidRDefault="009E5171" w:rsidP="00BA59FE">
            <w:pPr>
              <w:rPr>
                <w:rFonts w:ascii="Arial" w:hAnsi="Arial" w:cs="Arial"/>
                <w:b/>
                <w:sz w:val="20"/>
                <w:szCs w:val="20"/>
              </w:rPr>
            </w:pPr>
            <w:r w:rsidRPr="00354DE9">
              <w:rPr>
                <w:rFonts w:ascii="Arial" w:hAnsi="Arial" w:cs="Arial"/>
                <w:b/>
                <w:sz w:val="20"/>
                <w:szCs w:val="20"/>
              </w:rPr>
              <w:t>Contexte et enjeux locaux</w:t>
            </w:r>
          </w:p>
        </w:tc>
        <w:tc>
          <w:tcPr>
            <w:tcW w:w="6973" w:type="dxa"/>
            <w:gridSpan w:val="4"/>
            <w:vAlign w:val="center"/>
          </w:tcPr>
          <w:p w:rsidR="0003703E" w:rsidRPr="0003703E" w:rsidRDefault="0003703E" w:rsidP="0003703E">
            <w:pPr>
              <w:jc w:val="both"/>
              <w:rPr>
                <w:rFonts w:ascii="Arial" w:hAnsi="Arial" w:cs="Arial"/>
                <w:sz w:val="20"/>
                <w:szCs w:val="20"/>
              </w:rPr>
            </w:pPr>
            <w:r w:rsidRPr="0003703E">
              <w:rPr>
                <w:rFonts w:ascii="Arial" w:hAnsi="Arial" w:cs="Arial"/>
                <w:sz w:val="20"/>
                <w:szCs w:val="20"/>
              </w:rPr>
              <w:t>Dans un contexte de désertification médicale, d’isolement des professionnels de santé et du besoin développer une dynamique pour attirer les médecins, la constitution d’équipes coordonnées est un levier important.</w:t>
            </w:r>
          </w:p>
          <w:p w:rsidR="0003703E" w:rsidRPr="0003703E" w:rsidRDefault="0003703E" w:rsidP="0003703E">
            <w:pPr>
              <w:jc w:val="both"/>
              <w:rPr>
                <w:rFonts w:ascii="Arial" w:hAnsi="Arial" w:cs="Arial"/>
                <w:sz w:val="20"/>
                <w:szCs w:val="20"/>
              </w:rPr>
            </w:pPr>
            <w:r w:rsidRPr="0003703E">
              <w:rPr>
                <w:rFonts w:ascii="Arial" w:hAnsi="Arial" w:cs="Arial"/>
                <w:sz w:val="20"/>
                <w:szCs w:val="20"/>
              </w:rPr>
              <w:t xml:space="preserve">Ce constat est partagé par de nombreux acteurs, notamment l’ARS, L’assurance Maladie, la Région et la </w:t>
            </w:r>
            <w:proofErr w:type="spellStart"/>
            <w:r w:rsidRPr="0003703E">
              <w:rPr>
                <w:rFonts w:ascii="Arial" w:hAnsi="Arial" w:cs="Arial"/>
                <w:sz w:val="20"/>
                <w:szCs w:val="20"/>
              </w:rPr>
              <w:t>CeA</w:t>
            </w:r>
            <w:proofErr w:type="spellEnd"/>
            <w:r w:rsidRPr="0003703E">
              <w:rPr>
                <w:rFonts w:ascii="Arial" w:hAnsi="Arial" w:cs="Arial"/>
                <w:sz w:val="20"/>
                <w:szCs w:val="20"/>
              </w:rPr>
              <w:t xml:space="preserve"> et les collectivités territoriales.</w:t>
            </w:r>
          </w:p>
          <w:p w:rsidR="0003703E" w:rsidRPr="0003703E" w:rsidRDefault="0003703E" w:rsidP="0003703E">
            <w:pPr>
              <w:jc w:val="both"/>
              <w:rPr>
                <w:rFonts w:ascii="Arial" w:hAnsi="Arial" w:cs="Arial"/>
                <w:sz w:val="20"/>
                <w:szCs w:val="20"/>
              </w:rPr>
            </w:pPr>
            <w:r w:rsidRPr="0003703E">
              <w:rPr>
                <w:rFonts w:ascii="Arial" w:hAnsi="Arial" w:cs="Arial"/>
                <w:sz w:val="20"/>
                <w:szCs w:val="20"/>
              </w:rPr>
              <w:t xml:space="preserve">L’ARS et la </w:t>
            </w:r>
            <w:proofErr w:type="spellStart"/>
            <w:r w:rsidRPr="0003703E">
              <w:rPr>
                <w:rFonts w:ascii="Arial" w:hAnsi="Arial" w:cs="Arial"/>
                <w:sz w:val="20"/>
                <w:szCs w:val="20"/>
              </w:rPr>
              <w:t>CeA</w:t>
            </w:r>
            <w:proofErr w:type="spellEnd"/>
            <w:r w:rsidRPr="0003703E">
              <w:rPr>
                <w:rFonts w:ascii="Arial" w:hAnsi="Arial" w:cs="Arial"/>
                <w:sz w:val="20"/>
                <w:szCs w:val="20"/>
              </w:rPr>
              <w:t xml:space="preserve"> inscrivent </w:t>
            </w:r>
            <w:proofErr w:type="gramStart"/>
            <w:r w:rsidRPr="0003703E">
              <w:rPr>
                <w:rFonts w:ascii="Arial" w:hAnsi="Arial" w:cs="Arial"/>
                <w:sz w:val="20"/>
                <w:szCs w:val="20"/>
              </w:rPr>
              <w:t>cette engagement</w:t>
            </w:r>
            <w:proofErr w:type="gramEnd"/>
            <w:r w:rsidRPr="0003703E">
              <w:rPr>
                <w:rFonts w:ascii="Arial" w:hAnsi="Arial" w:cs="Arial"/>
                <w:sz w:val="20"/>
                <w:szCs w:val="20"/>
              </w:rPr>
              <w:t xml:space="preserve"> des professionnels de santé dans les contreparties à certains financement et l’assurance maladie est engagée autour de cette question.</w:t>
            </w:r>
          </w:p>
          <w:p w:rsidR="00AE0A60" w:rsidRPr="00BA59FE" w:rsidRDefault="0003703E" w:rsidP="0003703E">
            <w:pPr>
              <w:jc w:val="both"/>
              <w:rPr>
                <w:rFonts w:ascii="Arial" w:hAnsi="Arial" w:cs="Arial"/>
                <w:sz w:val="20"/>
                <w:szCs w:val="20"/>
              </w:rPr>
            </w:pPr>
            <w:r w:rsidRPr="0003703E">
              <w:rPr>
                <w:rFonts w:ascii="Arial" w:hAnsi="Arial" w:cs="Arial"/>
                <w:sz w:val="20"/>
                <w:szCs w:val="20"/>
              </w:rPr>
              <w:t xml:space="preserve">L’ambition de ce projet est de réunir dans une même stratégie l’ensemble des acteurs en </w:t>
            </w:r>
            <w:proofErr w:type="spellStart"/>
            <w:r w:rsidRPr="0003703E">
              <w:rPr>
                <w:rFonts w:ascii="Arial" w:hAnsi="Arial" w:cs="Arial"/>
                <w:sz w:val="20"/>
                <w:szCs w:val="20"/>
              </w:rPr>
              <w:t>leins</w:t>
            </w:r>
            <w:proofErr w:type="spellEnd"/>
            <w:r w:rsidRPr="0003703E">
              <w:rPr>
                <w:rFonts w:ascii="Arial" w:hAnsi="Arial" w:cs="Arial"/>
                <w:sz w:val="20"/>
                <w:szCs w:val="20"/>
              </w:rPr>
              <w:t xml:space="preserve"> avec les collectivités territoriales pour engager un programme d’information et de mobilisation sur l’ensemble du territoire en coordination avec les intercommunalités tout en s’appuyant sur les CPTS, par exemple.</w:t>
            </w:r>
          </w:p>
        </w:tc>
      </w:tr>
      <w:tr w:rsidR="00354DE9" w:rsidRPr="00354DE9" w:rsidTr="00EE1636">
        <w:trPr>
          <w:trHeight w:val="681"/>
          <w:jc w:val="center"/>
        </w:trPr>
        <w:tc>
          <w:tcPr>
            <w:tcW w:w="2547" w:type="dxa"/>
            <w:shd w:val="clear" w:color="auto" w:fill="FFFFFF" w:themeFill="background1"/>
            <w:vAlign w:val="center"/>
          </w:tcPr>
          <w:p w:rsidR="009507D8" w:rsidRPr="00E92D2D" w:rsidRDefault="00853973" w:rsidP="00155A3B">
            <w:pPr>
              <w:rPr>
                <w:rFonts w:ascii="Arial" w:hAnsi="Arial" w:cs="Arial"/>
                <w:b/>
                <w:sz w:val="20"/>
                <w:szCs w:val="20"/>
              </w:rPr>
            </w:pPr>
            <w:r w:rsidRPr="00E92D2D">
              <w:rPr>
                <w:rFonts w:ascii="Arial" w:hAnsi="Arial" w:cs="Arial"/>
                <w:b/>
                <w:sz w:val="20"/>
                <w:szCs w:val="20"/>
              </w:rPr>
              <w:t>Lien avec le P</w:t>
            </w:r>
            <w:r w:rsidR="002369FA">
              <w:rPr>
                <w:rFonts w:ascii="Arial" w:hAnsi="Arial" w:cs="Arial"/>
                <w:b/>
                <w:sz w:val="20"/>
                <w:szCs w:val="20"/>
              </w:rPr>
              <w:t xml:space="preserve">rojet </w:t>
            </w:r>
            <w:r w:rsidRPr="00E92D2D">
              <w:rPr>
                <w:rFonts w:ascii="Arial" w:hAnsi="Arial" w:cs="Arial"/>
                <w:b/>
                <w:sz w:val="20"/>
                <w:szCs w:val="20"/>
              </w:rPr>
              <w:t>R</w:t>
            </w:r>
            <w:r w:rsidR="002369FA">
              <w:rPr>
                <w:rFonts w:ascii="Arial" w:hAnsi="Arial" w:cs="Arial"/>
                <w:b/>
                <w:sz w:val="20"/>
                <w:szCs w:val="20"/>
              </w:rPr>
              <w:t xml:space="preserve">égional de </w:t>
            </w:r>
            <w:r w:rsidRPr="00E92D2D">
              <w:rPr>
                <w:rFonts w:ascii="Arial" w:hAnsi="Arial" w:cs="Arial"/>
                <w:b/>
                <w:sz w:val="20"/>
                <w:szCs w:val="20"/>
              </w:rPr>
              <w:t>S</w:t>
            </w:r>
            <w:r w:rsidR="002369FA">
              <w:rPr>
                <w:rFonts w:ascii="Arial" w:hAnsi="Arial" w:cs="Arial"/>
                <w:b/>
                <w:sz w:val="20"/>
                <w:szCs w:val="20"/>
              </w:rPr>
              <w:t>anté</w:t>
            </w:r>
            <w:r w:rsidR="004D2233" w:rsidRPr="00E92D2D">
              <w:rPr>
                <w:rFonts w:ascii="Arial" w:hAnsi="Arial" w:cs="Arial"/>
                <w:b/>
                <w:sz w:val="20"/>
                <w:szCs w:val="20"/>
              </w:rPr>
              <w:t xml:space="preserve"> (axe et objectif</w:t>
            </w:r>
            <w:r w:rsidR="00F56621">
              <w:rPr>
                <w:rFonts w:ascii="Arial" w:hAnsi="Arial" w:cs="Arial"/>
                <w:b/>
                <w:sz w:val="20"/>
                <w:szCs w:val="20"/>
              </w:rPr>
              <w:t>)</w:t>
            </w:r>
            <w:r w:rsidR="004D2233" w:rsidRPr="00E92D2D">
              <w:rPr>
                <w:rFonts w:ascii="Arial" w:hAnsi="Arial" w:cs="Arial"/>
                <w:b/>
                <w:sz w:val="20"/>
                <w:szCs w:val="20"/>
              </w:rPr>
              <w:t xml:space="preserve"> </w:t>
            </w:r>
            <w:r w:rsidR="004D2233" w:rsidRPr="00E92D2D">
              <w:rPr>
                <w:rFonts w:ascii="Arial" w:hAnsi="Arial" w:cs="Arial"/>
                <w:sz w:val="20"/>
                <w:szCs w:val="20"/>
              </w:rPr>
              <w:t>(</w:t>
            </w:r>
            <w:r w:rsidR="004D2233" w:rsidRPr="00E92D2D">
              <w:rPr>
                <w:rFonts w:ascii="Arial" w:hAnsi="Arial" w:cs="Arial"/>
                <w:i/>
                <w:sz w:val="20"/>
                <w:szCs w:val="20"/>
              </w:rPr>
              <w:t>lettre et chiffre</w:t>
            </w:r>
            <w:r w:rsidR="00F56621">
              <w:rPr>
                <w:rFonts w:ascii="Arial" w:hAnsi="Arial" w:cs="Arial"/>
                <w:i/>
                <w:sz w:val="20"/>
                <w:szCs w:val="20"/>
              </w:rPr>
              <w:t>)</w:t>
            </w:r>
            <w:r w:rsidR="004D2233" w:rsidRPr="00E92D2D">
              <w:rPr>
                <w:rFonts w:ascii="Arial" w:hAnsi="Arial" w:cs="Arial"/>
                <w:i/>
                <w:sz w:val="20"/>
                <w:szCs w:val="20"/>
              </w:rPr>
              <w:t xml:space="preserve"> </w:t>
            </w:r>
            <w:r w:rsidR="004D2233" w:rsidRPr="00E92D2D">
              <w:rPr>
                <w:rFonts w:ascii="Arial" w:hAnsi="Arial" w:cs="Arial"/>
                <w:i/>
                <w:sz w:val="20"/>
                <w:szCs w:val="20"/>
                <w:u w:val="single"/>
              </w:rPr>
              <w:t>base liste des objectifs du PRS</w:t>
            </w:r>
            <w:r w:rsidR="00CB2089">
              <w:rPr>
                <w:rFonts w:ascii="Arial" w:hAnsi="Arial" w:cs="Arial"/>
                <w:sz w:val="20"/>
                <w:szCs w:val="20"/>
              </w:rPr>
              <w:t>)</w:t>
            </w:r>
          </w:p>
        </w:tc>
        <w:tc>
          <w:tcPr>
            <w:tcW w:w="6973" w:type="dxa"/>
            <w:gridSpan w:val="4"/>
            <w:vAlign w:val="center"/>
          </w:tcPr>
          <w:p w:rsidR="005B3191"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5B3191" w:rsidRPr="00635DD5">
              <w:rPr>
                <w:rFonts w:ascii="Arial" w:hAnsi="Arial" w:cs="Arial"/>
                <w:sz w:val="20"/>
                <w:szCs w:val="20"/>
              </w:rPr>
              <w:t xml:space="preserve">Axe 1 : Prévention   </w:t>
            </w:r>
            <w:sdt>
              <w:sdtPr>
                <w:rPr>
                  <w:rFonts w:ascii="Arial" w:hAnsi="Arial" w:cs="Arial"/>
                  <w:sz w:val="20"/>
                  <w:szCs w:val="20"/>
                </w:rPr>
                <w:alias w:val="Objectifs Axe 1"/>
                <w:tag w:val="Objectifs Axe 1"/>
                <w:id w:val="388237479"/>
                <w:placeholder>
                  <w:docPart w:val="DefaultPlaceholder_1082065159"/>
                </w:placeholder>
                <w:showingPlcHdr/>
                <w:comboBox>
                  <w:listItem w:value="Choisissez un élément."/>
                  <w:listItem w:displayText="Objectif 01.0 - Faire passer la part des fumeurs quotidiens sous la barre des 20%" w:value="Objectif 01.0 - Faire passer la part des fumeurs quotidiens sous la barre des 20%"/>
                  <w:listItem w:displayText="Objectif 01.0 - Renforcer la protection vaccinale de la population" w:value="Objectif 01.0 - Renforcer la protection vaccinale de la population"/>
                  <w:listItem w:displayText="Objectif 01.1 - Maîtriser les risques environnementaux : Organiser une gestion intégrée du risque lié au radon dans l’habitat et les établissements qui reçoivent du public" w:value="Objectif 01.1 - Maîtriser les risques environnementaux : Organiser une gestion intégrée du risque lié au radon dans l’habitat et les établissements qui reçoivent du public"/>
                  <w:listItem w:displayText="Objectif 01.2 - Maîtriser les risques environnementaux : Faire connaître au grand public et aux professionnels concernés les risques liés à l’amiante et les moyens de s’en protéger" w:value="Objectif 01.2 - Maîtriser les risques environnementaux : Faire connaître au grand public et aux professionnels concernés les risques liés à l’amiante et les moyens de s’en protéger"/>
                  <w:listItem w:displayText="Objectif 01.3 - Maîtriser les risques environnementaux : Sensibiliser les collectivités et les accompagner dans la mise en place des plans de gestion de la sécurité sanitaire des eaux" w:value="Objectif 01.3 - Maîtriser les risques environnementaux : Sensibiliser les collectivités et les accompagner dans la mise en place des plans de gestion de la sécurité sanitaire des eaux"/>
                  <w:listItem w:displayText="Objectif 01.4 - Maîtriser les risques environnementaux : Réduire les risques liés au développement des espèces végétales susceptibles de nuire à la santé et renforcer la prévention des maladies vectorielles" w:value="Objectif 01.4 - Maîtriser les risques environnementaux : Réduire les risques liés au développement des espèces végétales susceptibles de nuire à la santé et renforcer la prévention des maladies vectorielles"/>
                  <w:listItem w:displayText="Objectif 01.5 - Maîtriser les risques environnementaux : Réduire les risques auditifs chez les jeunes liés à l’écoute de la musique amplifiée" w:value="Objectif 01.5 - Maîtriser les risques environnementaux : Réduire les risques auditifs chez les jeunes liés à l’écoute de la musique amplifiée"/>
                  <w:listItem w:displayText="Objectif 01.6 - Maîtriser les risques environnementaux : Mettre en place un programme de sensibilisation sur les perturbateurs endocriniens notamment en direction des futurs parents et notamment des femmes enceintes" w:value="Objectif 01.6 - Maîtriser les risques environnementaux : Mettre en place un programme de sensibilisation sur les perturbateurs endocriniens notamment en direction des futurs parents et notamment des femmes enceintes"/>
                  <w:listItem w:displayText="Objectif 01.7 - Maîtriser les risques environnementaux : Renforcer l’intervention de conseillers en environnement intérieur" w:value="Objectif 01.7 - Maîtriser les risques environnementaux : Renforcer l’intervention de conseillers en environnement intérieur"/>
                  <w:listItem w:displayText="Objectif 02.1 - Développer l’éducation thérapeutique du patient : Améliorer l’accès à une offre d’éducation thérapeutique notamment pour les pathologies les plus fréquentes" w:value="Objectif 02.1 - Développer l’éducation thérapeutique du patient : Améliorer l’accès à une offre d’éducation thérapeutique notamment pour les pathologies les plus fréquentes"/>
                  <w:listItem w:displayText="Objectif 02.1 - Promouvoir une alimentation saine et une activité physique régulière : Doubler le nombre de collectivités territoriales adhérant à la charte « villes actives ou départements actifs du programme national nutrition santé »" w:value="Objectif 02.1 - Promouvoir une alimentation saine et une activité physique régulière : Doubler le nombre de collectivités territoriales adhérant à la charte « villes actives ou départements actifs du programme national nutrition santé »"/>
                  <w:listItem w:displayText="Objectif 02.2 - Promouvoir une alimentation saine et une activité physique régulière : Accompagner le déploiement de l’activité physique adaptée prescrite dans le traitement de certaines pathologies" w:value="Objectif 02.2 - Promouvoir une alimentation saine et une activité physique régulière : Accompagner le déploiement de l’activité physique adaptée prescrite dans le traitement de certaines pathologies"/>
                  <w:listItem w:displayText="Objectif 03.0 - Améliorer l’information et la connaissance du public en s’appuyant sur les campagnes nationales de prévention pour les maladies chroniques" w:value="Objectif 03.0 - Améliorer l’information et la connaissance du public en s’appuyant sur les campagnes nationales de prévention pour les maladies chroniques"/>
                  <w:listItem w:displayText="Objectif 03.1 - Améliorer la santé au travail : Prévenir les troubles musculo-squelettiques" w:value="Objectif 03.1 - Améliorer la santé au travail : Prévenir les troubles musculo-squelettiques"/>
                  <w:listItem w:displayText="Objectif 03.2 - Améliorer la santé au travail : Développer la culture de prévention des risques professionnels pour les acteurs des secteurs de la santé et des services à la personne" w:value="Objectif 03.2 - Améliorer la santé au travail : Développer la culture de prévention des risques professionnels pour les acteurs des secteurs de la santé et des services à la personne"/>
                  <w:listItem w:displayText="Objectif 03.2 - Renforcer la promotion de la santé bucco-dentaire : Promouvoir la santé bucco-dentaire, auprès des aidants professionnels et non-professionnels, du secteur sanitaire et médico-social, pour les personnes en situation de handicap" w:value="Objectif 03.2 - Renforcer la promotion de la santé bucco-dentaire : Promouvoir la santé bucco-dentaire, auprès des aidants professionnels et non-professionnels, du secteur sanitaire et médico-social, pour les personnes en situation de handicap"/>
                  <w:listItem w:displayText="Objectif 03.3 - Améliorer la santé au travail : Évaluer et pérenniser les démarches de prévention des risques psycho-sociaux" w:value="Objectif 03.3 - Améliorer la santé au travail : Évaluer et pérenniser les démarches de prévention des risques psycho-sociaux"/>
                  <w:listItem w:displayText="Objectif 03.3 - Renforcer la promotion de la santé bucco-dentaire : Promouvoir la santé bucco-dentaire, auprès des aidants professionnels et non-professionnels, du secteur sanitaire et médico-social, des personnes âgées dépendantes" w:value="Objectif 03.3 - Renforcer la promotion de la santé bucco-dentaire : Promouvoir la santé bucco-dentaire, auprès des aidants professionnels et non-professionnels, du secteur sanitaire et médico-social, des personnes âgées dépendantes"/>
                  <w:listItem w:displayText="Objectif 03.4 - Améliorer la santé au travail : Lutter contre les addictions sur le lieu de travail" w:value="Objectif 03.4 - Améliorer la santé au travail : Lutter contre les addictions sur le lieu de travail"/>
                  <w:listItem w:displayText="Objectif 03.4 - Renforcer la promotion de la santé bucco-dentaire : Promouvoir l’accès à la prévention et aux soins bucco-dentaires des personnes en situation de précarité" w:value="Objectif 03.4 - Renforcer la promotion de la santé bucco-dentaire : Promouvoir l’accès à la prévention et aux soins bucco-dentaires des personnes en situation de précarité"/>
                  <w:listItem w:displayText="Objectif 03.5 - Renforcer la promotion de la santé bucco-dentaire : Améliorer le maillage territorial de l’offre de soins bucco-dentaire" w:value="Objectif 03.5 - Renforcer la promotion de la santé bucco-dentaire : Améliorer le maillage territorial de l’offre de soins bucco-dentaire"/>
                </w:comboBox>
              </w:sdtPr>
              <w:sdtEndPr/>
              <w:sdtContent>
                <w:r w:rsidR="00635DD5" w:rsidRPr="00B83B06">
                  <w:rPr>
                    <w:rStyle w:val="Textedelespacerserv"/>
                  </w:rPr>
                  <w:t>Choisissez un élément.</w:t>
                </w:r>
              </w:sdtContent>
            </w:sdt>
          </w:p>
          <w:p w:rsidR="005B3191" w:rsidRDefault="003E6827" w:rsidP="00C20F50">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2 : Soins de Proximité  </w:t>
            </w:r>
            <w:sdt>
              <w:sdtPr>
                <w:rPr>
                  <w:rFonts w:ascii="Arial" w:hAnsi="Arial" w:cs="Arial"/>
                  <w:sz w:val="20"/>
                  <w:szCs w:val="20"/>
                </w:rPr>
                <w:alias w:val="Objectifs Axe 2"/>
                <w:tag w:val="Objectifs Axe 2"/>
                <w:id w:val="-22875184"/>
                <w:placeholder>
                  <w:docPart w:val="DefaultPlaceholder_1082065159"/>
                </w:placeholder>
                <w:showingPlcHdr/>
                <w:comboBox>
                  <w:listItem w:value="Choisissez un élément."/>
                  <w:listItem w:displayText="Objectif 01.0 - Augmenter le nombre d’installations dans les zones identifiées par les schémas cibles territoriaux en accompagnant les jeunes médecins généralistes et spécialistes dans leur parcours d’installation" w:value="Objectif 01.0 - Augmenter le nombre d’installations dans les zones identifiées par les schémas cibles territoriaux en accompagnant les jeunes médecins généralistes et spécialistes dans leur parcours d’installation"/>
                  <w:listItem w:displayText="Objectif 02.0 - Promouvoir et accompagner la mise en œuvre des protocoles de coopération dans le champ ambulatoire" w:value="Objectif 02.0 - Promouvoir et accompagner la mise en œuvre des protocoles de coopération dans le champ ambulatoire"/>
                  <w:listItem w:displayText="Objectif 03.1 - Chaque équipe de soins primaires et/ou communauté professionnelle territoriale de santé intègre dans son projet de santé un volet prévention et parcours des patients porteurs de maladies chroniques" w:value="Objectif 03.1 - Chaque équipe de soins primaires et/ou communauté professionnelle territoriale de santé intègre dans son projet de santé un volet prévention et parcours des patients porteurs de maladies chroniques"/>
                  <w:listItem w:displayText="Objectif 04.0 - Augmenter le nombre de maisons de santé, d’équipes de soins primaires et de centres de santé et développer leur démarche qualité" w:value="Objectif 04.0 - Augmenter le nombre de maisons de santé, d’équipes de soins primaires et de centres de santé et développer leur démarche qualité"/>
                  <w:listItem w:displayText="Objectif 06.0 - Accompagner la diversification d’une offre de soins non programmés de premier recours lisible et adaptée aux besoins des territoires" w:value="Objectif 06.0 - Accompagner la diversification d’une offre de soins non programmés de premier recours lisible et adaptée aux besoins des territoires"/>
                </w:comboBox>
              </w:sdtPr>
              <w:sdtEndPr/>
              <w:sdtContent>
                <w:r w:rsidR="00E22823" w:rsidRPr="00B83B06">
                  <w:rPr>
                    <w:rStyle w:val="Textedelespacerserv"/>
                  </w:rPr>
                  <w:t>Choisissez un élément.</w:t>
                </w:r>
              </w:sdtContent>
            </w:sdt>
          </w:p>
          <w:p w:rsidR="005B3191" w:rsidRDefault="0003703E"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E22823">
              <w:rPr>
                <w:rFonts w:ascii="Arial" w:hAnsi="Arial" w:cs="Arial"/>
                <w:sz w:val="20"/>
                <w:szCs w:val="20"/>
              </w:rPr>
              <w:t xml:space="preserve">Axe 3 : Ressources humaines en santé </w:t>
            </w:r>
            <w:sdt>
              <w:sdtPr>
                <w:rPr>
                  <w:rFonts w:ascii="Arial" w:hAnsi="Arial" w:cs="Arial"/>
                  <w:sz w:val="20"/>
                  <w:szCs w:val="20"/>
                </w:rPr>
                <w:alias w:val="Objectifs Axe 3"/>
                <w:tag w:val="Objectifs Axe 3"/>
                <w:id w:val="-484319134"/>
                <w:placeholder>
                  <w:docPart w:val="DefaultPlaceholder_1082065159"/>
                </w:placeholder>
                <w:showingPlcHdr/>
                <w:comboBox>
                  <w:listItem w:value="Choisissez un élément."/>
                  <w:listItem w:displayText="Objectif 02.0 - Développer et diversifier les terrains de stage d’accueil des internes, en fonction de l’offre et des besoins du territoire, pour mettre en œuvre la réforme du 3e cycle sur les trois subdivisions" w:value="Objectif 02.0 - Développer et diversifier les terrains de stage d’accueil des internes, en fonction de l’offre et des besoins du territoire, pour mettre en œuvre la réforme du 3e cycle sur les trois subdivisions"/>
                  <w:listItem w:displayText="Objectif 05.0 - Appuyer chaque établissement support de GHT pour développer une stratégie efficiente en matière de ressources humaines en santé et notamment de gestion prévisionnelle des métiers et des compétences" w:value="Objectif 05.0 - Appuyer chaque établissement support de GHT pour développer une stratégie efficiente en matière de ressources humaines en santé et notamment de gestion prévisionnelle des métiers et des compétences"/>
                  <w:listItem w:displayText="Objectif 07.0 - Renforcer les coopérations des professionnels de santé pour réduire les délais d’accès aux soins" w:value="Objectif 07.0 - Renforcer les coopérations des professionnels de santé pour réduire les délais d’accès aux soins"/>
                </w:comboBox>
              </w:sdtPr>
              <w:sdtEndPr/>
              <w:sdtContent>
                <w:r w:rsidR="00E22823" w:rsidRPr="00B83B06">
                  <w:rPr>
                    <w:rStyle w:val="Textedelespacerserv"/>
                  </w:rPr>
                  <w:t>Choisissez un élément.</w:t>
                </w:r>
              </w:sdtContent>
            </w:sdt>
          </w:p>
          <w:p w:rsidR="00E22823"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E22823" w:rsidRPr="00635DD5">
              <w:rPr>
                <w:rFonts w:ascii="Arial" w:hAnsi="Arial" w:cs="Arial"/>
                <w:sz w:val="20"/>
                <w:szCs w:val="20"/>
              </w:rPr>
              <w:t xml:space="preserve">Axe 4 : Parcours </w:t>
            </w:r>
            <w:sdt>
              <w:sdtPr>
                <w:rPr>
                  <w:rFonts w:ascii="Arial" w:hAnsi="Arial" w:cs="Arial"/>
                  <w:sz w:val="20"/>
                  <w:szCs w:val="20"/>
                </w:rPr>
                <w:alias w:val="Objectifs Axe 4"/>
                <w:tag w:val="Objectifs Axe 4"/>
                <w:id w:val="1634217096"/>
                <w:placeholder>
                  <w:docPart w:val="DefaultPlaceholder_1082065159"/>
                </w:placeholder>
                <w:comboBox>
                  <w:listItem w:value="Choisissez un élément."/>
                  <w:listItem w:displayText="Objectif 01.0 - Améliorer la prévention primaire des cancers et des récidives" w:value="Objectif 01.0 - Améliorer la prévention primaire des cancers et des récidives"/>
                  <w:listItem w:displayText="Objectif 01.0 - Améliorer le dépistage du diabète chez les personnes à risque" w:value="Objectif 01.0 - Améliorer le dépistage du diabète chez les personnes à risque"/>
                  <w:listItem w:displayText="Objectif 01.0 - Diminuer d’au moins 50% le nombre d’admissions de patients victimes d’accident vasculaire cérébral aux urgences des établissements ne disposant ni d’unité neurovasculaire ni de téléAVC et le nombre d’admissions de patients victimes de SCA/S" w:value="Objectif 01.0 - Diminuer d’au moins 50% le nombre d’admissions de patients victimes d’accident vasculaire cérébral aux urgences des établissements ne disposant ni d’unité neurovasculaire ni de téléAVC et le nombre d’admissions de patients victimes de SCA/S"/>
                  <w:listItem w:displayText="Objectif 01.0 - Mettre en place les projets territoriaux de santé mentale couvrant la région Grand Est" w:value="Objectif 01.0 - Mettre en place les projets territoriaux de santé mentale couvrant la région Grand Est"/>
                  <w:listItem w:displayText="Objectif 01.0 - Organiser la prise en charge des patients sous l’égide des centres experts" w:value="Objectif 01.0 - Organiser la prise en charge des patients sous l’égide des centres experts"/>
                  <w:listItem w:displayText="Objectif 01.0 - Réduire d’au moins 25% le délai entre l’âge aux premiers signes d’une maladie rare et la prise en charge par un centre de référence et/ou de compétence" w:value="Objectif 01.0 - Réduire d’au moins 25% le délai entre l’âge aux premiers signes d’une maladie rare et la prise en charge par un centre de référence et/ou de compétence"/>
                  <w:listItem w:displayText="Objectif 01.1 - Renforcer les actions de prévention et de promotion de la santé chez l’enfant et l’adolescent : Mettre en œuvre, dans les lieux de vie des enfants et des adolescents, un plan d’actions coordonnées visant leur bien-être et leur développement" w:value="Objectif 01.1 - Renforcer les actions de prévention et de promotion de la santé chez l’enfant et l’adolescent : Mettre en œuvre, dans les lieux de vie des enfants et des adolescents, un plan d’actions coordonnées visant leur bien-être et leur développement"/>
                  <w:listItem w:displayText="Objectif 01.2 - Renforcer les actions de prévention et de promotion de la santé chez l’enfant et l’adolescent : Développer une politique volontariste de soutien à la parentalité" w:value="Objectif 01.2 - Renforcer les actions de prévention et de promotion de la santé chez l’enfant et l’adolescent : Développer une politique volontariste de soutien à la parentalité"/>
                  <w:listItem w:displayText="Objectif 01.3 - Renforcer les actions de prévention et de promotion de la santé chez l’enfant et l’adolescent : 100% des enfants bénéficient de l’examen médical obligatoire lors de la 6e année dans les territoires prioritaires définis en lien avec les rect" w:value="Objectif 01.3 - Renforcer les actions de prévention et de promotion de la santé chez l’enfant et l’adolescent : 100% des enfants bénéficient de l’examen médical obligatoire lors de la 6e année dans les territoires prioritaires définis en lien avec les rect"/>
                  <w:listItem w:displayText="Objectif 01.4 - Renforcer les actions de prévention et de promotion de la santé chez l’enfant et l’adolescent : Garantir le succès de la politique vaccinale nationale" w:value="Objectif 01.4 - Renforcer les actions de prévention et de promotion de la santé chez l’enfant et l’adolescent : Garantir le succès de la politique vaccinale nationale"/>
                  <w:listItem w:displayText="Objectif 02.0 - 100 % des patients présentant des signes SCA/ST+ ou des signes d’AVC, régulés par le centre 15, sont adressés conformément aux filières préhospitalières" w:value="Objectif 02.0 - 100 % des patients présentant des signes SCA/ST+ ou des signes d’AVC, régulés par le centre 15, sont adressés conformément aux filières préhospitalières"/>
                  <w:listItem w:displayText="Objectif 02.0 - Augmenter de 6 à 8 points le taux de participation aux dépistages organisés des cancers du sein et colorectal, et de 5 points le taux de participation au dépistage organisé du cancer du col de l’utérus" w:value="Objectif 02.0 - Augmenter de 6 à 8 points le taux de participation aux dépistages organisés des cancers du sein et colorectal, et de 5 points le taux de participation au dépistage organisé du cancer du col de l’utérus"/>
                  <w:listItem w:displayText="Objectif 02.0 - Développer et soutenir les prises en charge à domicile des patients atteints de pathologies neurodégénératives" w:value="Objectif 02.0 - Développer et soutenir les prises en charge à domicile des patients atteints de pathologies neurodégénératives"/>
                  <w:listItem w:displayText="Objectif 02.0 - Développer une offre de réhabilitation psycho-sociale en adéquation avec le projet de vie des usagers" w:value="Objectif 02.0 - Développer une offre de réhabilitation psycho-sociale en adéquation avec le projet de vie des usagers"/>
                  <w:listItem w:displayText="Objectif 02.0 - Diminuer le recours inadapté des enfants et adolescents aux structures hospitalières (urgences et surspécialités)" w:value="Objectif 02.0 - Diminuer le recours inadapté des enfants et adolescents aux structures hospitalières (urgences et surspécialités)"/>
                  <w:listItem w:displayText="Objectif 02.0 - Intensifier le dépistage des rétinopathies" w:value="Objectif 02.0 - Intensifier le dépistage des rétinopathies"/>
                  <w:listItem w:displayText="Objectif 02.0 - Les personnes concernées par les maladies rares disposent d’informations adaptées, lisibles et compréhensibles (FALC)" w:value="Objectif 02.0 - Les personnes concernées par les maladies rares disposent d’informations adaptées, lisibles et compréhensibles (FALC)"/>
                  <w:listItem w:displayText="Objectif 03.0 - Admettre au moins 80% des patients AVC et AIT en unité neuro-vasculaire (hors hémorragies sous-arachnoïdiennes et hématomes traumatiques)" w:value="Objectif 03.0 - Admettre au moins 80% des patients AVC et AIT en unité neuro-vasculaire (hors hémorragies sous-arachnoïdiennes et hématomes traumatiques)"/>
                  <w:listItem w:displayText="Objectif 03.0 - Améliorer l’accès, la fluidité aux soins et l’accompagnement ambulatoire" w:value="Objectif 03.0 - Améliorer l’accès, la fluidité aux soins et l’accompagnement ambulatoire"/>
                  <w:listItem w:displayText="Objectif 03.0 - Diminuer d’au moins 50% le nombre de personnes insuffisantes rénales dialysées en urgence" w:value="Objectif 03.0 - Diminuer d’au moins 50% le nombre de personnes insuffisantes rénales dialysées en urgence"/>
                  <w:listItem w:displayText="Objectif 03.0 - Les professionnels de santé prenant en charge des personnes atteintes de maladies rares ont accès à des informations actualisées (parcours de leurs patients, évolutions des connaissances dans le champ des maladies rares)" w:value="Objectif 03.0 - Les professionnels de santé prenant en charge des personnes atteintes de maladies rares ont accès à des informations actualisées (parcours de leurs patients, évolutions des connaissances dans le champ des maladies rares)"/>
                  <w:listItem w:displayText="Objectif 03.0 - Permettre aux enfants et adolescents, identifiés comme relevant d’une situation complexe, de bénéficier d’une coordination pluri professionnelle dans un dispositif spécifique" w:value="Objectif 03.0 - Permettre aux enfants et adolescents, identifiés comme relevant d’une situation complexe, de bénéficier d’une coordination pluri professionnelle dans un dispositif spécifique"/>
                  <w:listItem w:displayText="Objectif 03.0 - Structurer et mettre en œuvre une politique active en direction des proches aidants, en assurant une meilleure évaluation de leurs besoins, en adaptant les dispositifs et en les faisant connaître" w:value="Objectif 03.0 - Structurer et mettre en œuvre une politique active en direction des proches aidants, en assurant une meilleure évaluation de leurs besoins, en adaptant les dispositifs et en les faisant connaître"/>
                  <w:listItem w:displayText="Objectif 04.0 - Augmenter le nombre de patients en insuffisance rénale pris en charge hors centre lourd de dialyse" w:value="Objectif 04.0 - Augmenter le nombre de patients en insuffisance rénale pris en charge hors centre lourd de dialyse"/>
                  <w:listItem w:displayText="Objectif 04.0 - Chaque enfant atteint d’une maladie rare devenant adulte bénéficie d’une consultation multidisciplinaire de relais enfant/adulte, mise en place dans chaque centre de référence ou de compétence" w:value="Objectif 04.0 - Chaque enfant atteint d’une maladie rare devenant adulte bénéficie d’une consultation multidisciplinaire de relais enfant/adulte, mise en place dans chaque centre de référence ou de compétence"/>
                  <w:listItem w:displayText="Objectif 04.0 - Faciliter l’accès aux soins intégrés, à la prévention et à la réduction des risques et des dommages pour l’ensemble des personnes en souffrance psychique" w:value="Objectif 04.0 - Faciliter l’accès aux soins intégrés, à la prévention et à la réduction des risques et des dommages pour l’ensemble des personnes en souffrance psychique"/>
                  <w:listItem w:displayText="Objectif 04.0 - Mettre en œuvre un parcours coordonné pour les jeunes enfants présentant des troubles du neuro-développement : repérage, évaluation, prise en charge globale précoces" w:value="Objectif 04.0 - Mettre en œuvre un parcours coordonné pour les jeunes enfants présentant des troubles du neuro-développement : repérage, évaluation, prise en charge globale précoces"/>
                  <w:listItem w:displayText="Objectif 04.0 - Organiser le suivi des malades neuro-stimulés" w:value="Objectif 04.0 - Organiser le suivi des malades neuro-stimulés"/>
                  <w:listItem w:displayText="Objectif 04.0 - Réaliser un support de sensibilisation / information des praticiens intervenant auprès des enfants afin de réduire les délais de diagnostic de cancers de l’enfant" w:value="Objectif 04.0 - Réaliser un support de sensibilisation / information des praticiens intervenant auprès des enfants afin de réduire les délais de diagnostic de cancers de l’enfant"/>
                  <w:listItem w:displayText="Objectif 04.1 - Améliorer l’offre en rééducation neurologique dans l’ensemble de la région : Au moins 50% des zones d’implantation possèdent une équipe mobile de SSR neurologique" w:value="Objectif 04.1 - Améliorer l’offre en rééducation neurologique dans l’ensemble de la région : Au moins 50% des zones d’implantation possèdent une équipe mobile de SSR neurologique"/>
                  <w:listItem w:displayText="Objectif 04.2 - Améliorer l’offre en rééducation neurologique dans l’ensemble de la région : Expérimenter la création d’une maison de santé de rééducation" w:value="Objectif 04.2 - Améliorer l’offre en rééducation neurologique dans l’ensemble de la région : Expérimenter la création d’une maison de santé de rééducation"/>
                  <w:listItem w:displayText="Objectif 05.0 - Au moins 50% des patients insuffisants cardiaques en ALD sont inclus dans un protocole de coopération type « Asalée » ou dans un protocole de suivi à domicile" w:value="Objectif 05.0 - Au moins 50% des patients insuffisants cardiaques en ALD sont inclus dans un protocole de coopération type « Asalée » ou dans un protocole de suivi à domicile"/>
                  <w:listItem w:displayText="Objectif 05.0 - Augmenter le nombre de patients éligibles inscrits sur une liste d’attente de greffe rénale" w:value="Objectif 05.0 - Augmenter le nombre de patients éligibles inscrits sur une liste d’attente de greffe rénale"/>
                  <w:listItem w:displayText="Objectif 05.0 - Mettre en œuvre un parcours coordonné pour les enfants et les adolescents présentant un surpoids ou une obésité" w:value="Objectif 05.0 - Mettre en œuvre un parcours coordonné pour les enfants et les adolescents présentant un surpoids ou une obésité"/>
                  <w:listItem w:displayText="Objectif 05.0 - Réduire l’écart par rapport à la moyenne nationale du taux de mortalité par suicide dans les départements les plus touchés" w:value="Objectif 05.0 - Réduire l’écart par rapport à la moyenne nationale du taux de mortalité par suicide dans les départements les plus touchés"/>
                  <w:listItem w:displayText="Objectif 06.0 - Adapter l’enseignement et la formation en addictologie pour faire évoluer les pratiques" w:value="Objectif 06.0 - Adapter l’enseignement et la formation en addictologie pour faire évoluer les pratiques"/>
                  <w:listItem w:displayText="Objectif 06.0 - Améliorer l’offre et le parcours coordonné pour les enfants et adolescents présentant une souffrance psychique et/ou des troubles du comportement et assurer le relais à l’âge adulte" w:value="Objectif 06.0 - Améliorer l’offre et le parcours coordonné pour les enfants et adolescents présentant une souffrance psychique et/ou des troubles du comportement et assurer le relais à l’âge adulte"/>
                  <w:listItem w:displayText="Objectif 06.0 - Améliorer la coordination des acteurs grâce aux outils du numérique" w:value="Objectif 06.0 - Améliorer la coordination des acteurs grâce aux outils du numérique"/>
                  <w:listItem w:displayText="Objectif 06.0 - Chaque zone d’implantation du niveau de soins de référence propose l’accès à un programme d’éducation thérapeutique neurovasculaire destiné aux patients AVC et AIT" w:value="Objectif 06.0 - Chaque zone d’implantation du niveau de soins de référence propose l’accès à un programme d’éducation thérapeutique neurovasculaire destiné aux patients AVC et AIT"/>
                  <w:listItem w:displayText="Objectif 07.0 - Améliorer l’accès des patients atteints de maladies neurodégénératives à l’éducation thérapeutique" w:value="Objectif 07.0 - Améliorer l’accès des patients atteints de maladies neurodégénératives à l’éducation thérapeutique"/>
                  <w:listItem w:displayText="Objectif 07.0 - Améliorer la prévention et la prise en charge des affections respiratoires notamment de la broncho pneumopathie chronique obstructive" w:value="Objectif 07.0 - Améliorer la prévention et la prise en charge des affections respiratoires notamment de la broncho pneumopathie chronique obstructive"/>
                  <w:listItem w:displayText="Objectif 07.0 - Développer des programmes de recherche et d’évaluation des pratiques professionnelles en addictologie" w:value="Objectif 07.0 - Développer des programmes de recherche et d’évaluation des pratiques professionnelles en addictologie"/>
                  <w:listItem w:displayText="Objectif 07.0 - Mettre en œuvre une communication des données agrégées de santé des enfants et des adolescents, auprès des professionnels de santé, en rendant ces données accessibles et lisibles pour aider à porter des projets territoriaux" w:value="Objectif 07.0 - Mettre en œuvre une communication des données agrégées de santé des enfants et des adolescents, auprès des professionnels de santé, en rendant ces données accessibles et lisibles pour aider à porter des projets territoriaux"/>
                  <w:listItem w:displayText="Objectif 08.0 - Améliorer la qualité de vie au travail et la prévention des risques psycho-sociaux" w:value="Objectif 08.0 - Améliorer la qualité de vie au travail et la prévention des risques psycho-sociaux"/>
                  <w:listItem w:displayText="Objectif 08.0 - Lutter contre les maladies du foie en améliorant la prévention, le dépistage et l’accès au traitement" w:value="Objectif 08.0 - Lutter contre les maladies du foie en améliorant la prévention, le dépistage et l’accès au traitement"/>
                  <w:listItem w:displayText="Objectif 09.1 - Développer la prise en charge en ambulatoire : La chirurgie ambulatoire" w:value="Objectif 09.1 - Développer la prise en charge en ambulatoire : La chirurgie ambulatoire"/>
                  <w:listItem w:displayText="Objectif 09.2 - Développer la prise en charge en ambulatoire : La chimiothérapie orale" w:value="Objectif 09.2 - Développer la prise en charge en ambulatoire : La chimiothérapie orale"/>
                </w:comboBox>
              </w:sdtPr>
              <w:sdtEndPr/>
              <w:sdtContent>
                <w:r w:rsidR="00D9224D">
                  <w:rPr>
                    <w:rFonts w:ascii="Arial" w:hAnsi="Arial" w:cs="Arial"/>
                    <w:sz w:val="20"/>
                    <w:szCs w:val="20"/>
                  </w:rPr>
                  <w:t xml:space="preserve">Objectif </w:t>
                </w:r>
              </w:sdtContent>
            </w:sdt>
          </w:p>
          <w:p w:rsidR="00E22823"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A06420">
              <w:rPr>
                <w:rFonts w:ascii="Arial" w:hAnsi="Arial" w:cs="Arial"/>
                <w:sz w:val="20"/>
                <w:szCs w:val="20"/>
              </w:rPr>
              <w:t xml:space="preserve">Axe 5 : Autonomie et social </w:t>
            </w:r>
            <w:sdt>
              <w:sdtPr>
                <w:rPr>
                  <w:rFonts w:ascii="Arial" w:hAnsi="Arial" w:cs="Arial"/>
                  <w:sz w:val="20"/>
                  <w:szCs w:val="20"/>
                </w:rPr>
                <w:alias w:val="Objectifs Axe 5"/>
                <w:tag w:val="Objectifs Axe 5"/>
                <w:id w:val="1741674630"/>
                <w:placeholder>
                  <w:docPart w:val="DefaultPlaceholder_1082065159"/>
                </w:placeholder>
                <w:showingPlcHdr/>
                <w:comboBox>
                  <w:listItem w:value="Choisissez un élément."/>
                  <w:listItem w:displayText="Objectif 01.0 - Contribuer à la prévention de la perte d’autonomie des personnes âgées" w:value="Objectif 01.0 - Contribuer à la prévention de la perte d’autonomie des personnes âgées"/>
                  <w:listItem w:displayText="Objectif 01.0 - Élaborer un programme pluriannuel de prévention, de promotion de la santé dans chaque établissement pénitentiaire" w:value="Objectif 01.0 - Élaborer un programme pluriannuel de prévention, de promotion de la santé dans chaque établissement pénitentiaire"/>
                  <w:listItem w:displayText="Objectif 01.0 - Faciliter l’accès aux droits et à l’entrée dans un parcours de santé, en partenariat avec l’Assurance maladie" w:value="Objectif 01.0 - Faciliter l’accès aux droits et à l’entrée dans un parcours de santé, en partenariat avec l’Assurance maladie"/>
                  <w:listItem w:displayText="Objectif 01.0 - Mettre en œuvre un parcours coordonné pour les jeunes enfants présentant des troubles du neuro-développement : repérage, évaluation, prise en charge globale précoces" w:value="Objectif 01.0 - Mettre en œuvre un parcours coordonné pour les jeunes enfants présentant des troubles du neuro-développement : repérage, évaluation, prise en charge globale précoces"/>
                  <w:listItem w:displayText="Objectif 02.0 - Diminuer d’au moins 10% pour chaque zone d’implantation le recours inadapté aux urgences des personnes âgées de plus de 75 ans" w:value="Objectif 02.0 - Diminuer d’au moins 10% pour chaque zone d’implantation le recours inadapté aux urgences des personnes âgées de plus de 75 ans"/>
                  <w:listItem w:displayText="Objectif 02.0 - Faciliter la relation patient – professionnel de santé en développant la médiation en santé et l’interprétariat pour la médecine de ville" w:value="Objectif 02.0 - Faciliter la relation patient – professionnel de santé en développant la médiation en santé et l’interprétariat pour la médecine de ville"/>
                  <w:listItem w:displayText="Objectif 02.0 - Réduire d’au moins un tiers le nombre de situations sans solution stable" w:value="Objectif 02.0 - Réduire d’au moins un tiers le nombre de situations sans solution stable"/>
                  <w:listItem w:displayText="Objectif 03.0 - Augmenter la part d’enfants et d’adolescents en institution médico-sociale bénéficiant d’une scolarisation en milieu ordinaire, et adaptée à leurs besoins" w:value="Objectif 03.0 - Augmenter la part d’enfants et d’adolescents en institution médico-sociale bénéficiant d’une scolarisation en milieu ordinaire, et adaptée à leurs besoins"/>
                  <w:listItem w:displayText="Objectif 03.0 - Construire un cadre méthodologique pour développer les actions de prévention et de promotion de la santé adaptées aux publics en difficulté" w:value="Objectif 03.0 - Construire un cadre méthodologique pour développer les actions de prévention et de promotion de la santé adaptées aux publics en difficulté"/>
                  <w:listItem w:displayText="Objectif 03.0 - Développer la télémédecine pour faciliter l’accès aux soins spécialisés" w:value="Objectif 03.0 - Développer la télémédecine pour faciliter l’accès aux soins spécialisés"/>
                  <w:listItem w:displayText="Objectif 03.0 - Diminuer d’au moins 5% le nombre de ré-hospitalisations non programmées dans les 30 jours des personnes âgées de plus de 75 ans" w:value="Objectif 03.0 - Diminuer d’au moins 5% le nombre de ré-hospitalisations non programmées dans les 30 jours des personnes âgées de plus de 75 ans"/>
                  <w:listItem w:displayText="Objectif 04.0 - 100% des plateformes territoriales d’appui intègrent la problématique de la précarité" w:value="Objectif 04.0 - 100% des plateformes territoriales d’appui intègrent la problématique de la précarité"/>
                  <w:listItem w:displayText="Objectif 04.0 - Réduire d’au moins 30% le nombre de jeunes adultes maintenus en établissement pour enfants au titre de l’amendement Creton" w:value="Objectif 04.0 - Réduire d’au moins 30% le nombre de jeunes adultes maintenus en établissement pour enfants au titre de l’amendement Creton"/>
                  <w:listItem w:displayText="Objectif 05.0 - 100% des permanences d’accès aux soins de santé sont en conformité avec le cahier des charges règlementaire" w:value="Objectif 05.0 - 100% des permanences d’accès aux soins de santé sont en conformité avec le cahier des charges règlementaire"/>
                  <w:listItem w:displayText="Objectif 05.0 - Développer des mesures valorisant et rendant attractif l’exercice professionnel médical et paramédical en milieu pénitentiaire" w:value="Objectif 05.0 - Développer des mesures valorisant et rendant attractif l’exercice professionnel médical et paramédical en milieu pénitentiaire"/>
                  <w:listItem w:displayText="Objectif 05.0 - Parmi la population de plus de 45 ans accueillie en établissements et services médico-sociaux, doubler à minima le nombre de personnes bénéficiant d’un projet spécifique personne handicapée vieillissante" w:value="Objectif 05.0 - Parmi la population de plus de 45 ans accueillie en établissements et services médico-sociaux, doubler à minima le nombre de personnes bénéficiant d’un projet spécifique personne handicapée vieillissante"/>
                  <w:listItem w:displayText="Objectif 06.0 - Au moins 50% des aidants repérés par les professionnels accèdent à une offre de services adaptés à leur besoin" w:value="Objectif 06.0 - Au moins 50% des aidants repérés par les professionnels accèdent à une offre de services adaptés à leur besoin"/>
                  <w:listItem w:displayText="Objectif 06.0 - Créer des places d’appartement de coordination thérapeutique, des lits halte soins santé et des lits d’accueil médicalisés en priorité dans les zones blanches au regard des besoins identifiés" w:value="Objectif 06.0 - Créer des places d’appartement de coordination thérapeutique, des lits halte soins santé et des lits d’accueil médicalisés en priorité dans les zones blanches au regard des besoins identifiés"/>
                  <w:listItem w:displayText="Objectif 06.0 - Développer la mise en œuvre de la charte « Romain Jacob » pour l’ensemble des établissements médico-sociaux et sanitaires, en vue d’améliorer l’accès à la santé des personnes en situation de handicap" w:value="Objectif 06.0 - Développer la mise en œuvre de la charte « Romain Jacob » pour l’ensemble des établissements médico-sociaux et sanitaires, en vue d’améliorer l’accès à la santé des personnes en situation de handicap"/>
                  <w:listItem w:displayText="Objectif 07.0 - Constituer un groupe de réflexion santé précarité, plurisectoriel et pluri professionnel des acteurs de proximité (au moins un par département)" w:value="Objectif 07.0 - Constituer un groupe de réflexion santé précarité, plurisectoriel et pluri professionnel des acteurs de proximité (au moins un par département)"/>
                  <w:listItem w:displayText="Objectif 07.0 - Reconnaître et valoriser l’expertise des personnes handicapées, des aidants et leur apporter le soutien nécessaire" w:value="Objectif 07.0 - Reconnaître et valoriser l’expertise des personnes handicapées, des aidants et leur apporter le soutien nécessaire"/>
                  <w:listItem w:displayText="Objectif 08.0 - Organiser la participation des « experts du vécu » à la mise en œuvre, au suivi et l’évaluation du PRAPS et du plan Pauvreté" w:value="Objectif 08.0 - Organiser la participation des « experts du vécu » à la mise en œuvre, au suivi et l’évaluation du PRAPS et du plan Pauvreté"/>
                </w:comboBox>
              </w:sdtPr>
              <w:sdtEndPr/>
              <w:sdtContent>
                <w:r w:rsidR="00A06420" w:rsidRPr="00B83B06">
                  <w:rPr>
                    <w:rStyle w:val="Textedelespacerserv"/>
                  </w:rPr>
                  <w:t>Choisissez un élément.</w:t>
                </w:r>
              </w:sdtContent>
            </w:sdt>
          </w:p>
          <w:p w:rsidR="00E22823" w:rsidRDefault="0003703E"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6 : Efficience </w:t>
            </w:r>
            <w:sdt>
              <w:sdtPr>
                <w:rPr>
                  <w:rFonts w:ascii="Arial" w:hAnsi="Arial" w:cs="Arial"/>
                  <w:sz w:val="20"/>
                  <w:szCs w:val="20"/>
                </w:rPr>
                <w:alias w:val="Objectifs Axe 6"/>
                <w:tag w:val="Objectifs Axe 6"/>
                <w:id w:val="1786618383"/>
                <w:placeholder>
                  <w:docPart w:val="DefaultPlaceholder_1082065159"/>
                </w:placeholder>
                <w:comboBox>
                  <w:listItem w:value="Choisissez un élément."/>
                  <w:listItem w:displayText="Objectif 01.0 - Assurer un parcours de soins coordonné en constituant les « communautés périnatales » dans chaque zone d’implantation" w:value="Objectif 01.0 - Assurer un parcours de soins coordonné en constituant les « communautés périnatales » dans chaque zone d’implantation"/>
                  <w:listItem w:displayText="Objectif 01.0 - Augmenter d’au moins 30% le taux de recours en ambulatoire en soins de suite et de réadaptation" w:value="Objectif 01.0 - Augmenter d’au moins 30% le taux de recours en ambulatoire en soins de suite et de réadaptation"/>
                  <w:listItem w:displayText="Objectif 02.0 - 100% des maternités doivent respecter les exigences en matière de qualité, de sécurité et de continuité des soins" w:value="Objectif 02.0 - 100% des maternités doivent respecter les exigences en matière de qualité, de sécurité et de continuité des soins"/>
                  <w:listItem w:displayText="Objectif 02.0 - Augmenter le taux de recours à l’HAD" w:value="Objectif 02.0 - Augmenter le taux de recours à l’HAD"/>
                  <w:listItem w:displayText="Objectif 02.0 - Promouvoir la déclaration des évènements indésirables graves associés aux soins, faciliter leur analyse pour les secteurs sanitaire, médico-social et ambulatoire et développer la culture positive de l’erreur" w:value="Objectif 02.0 - Promouvoir la déclaration des évènements indésirables graves associés aux soins, faciliter leur analyse pour les secteurs sanitaire, médico-social et ambulatoire et développer la culture positive de l’erreur"/>
                  <w:listItem w:displayText="Objectif 03.0 - Atteindre un taux égal ou inférieur à 5% de prématurés de moins de 30 semaines d’aménorrhée" w:value="Objectif 03.0 - Atteindre un taux égal ou inférieur à 5% de prématurés de moins de 30 semaines d’aménorrhée"/>
                  <w:listItem w:displayText="Objectif 03.0 - Permettre un accès à une prise en charge ambulatoire pour les enfants en soins de suite et de réadaptation dans chaque zone d’implantation du niveau de soins de référence" w:value="Objectif 03.0 - Permettre un accès à une prise en charge ambulatoire pour les enfants en soins de suite et de réadaptation dans chaque zone d’implantation du niveau de soins de référence"/>
                  <w:listItem w:displayText="Objectif 04.0 - 100% des parturientes bénéficient d’un accompagnement global et adapté au retour à domicile grâce aux dispositifs de proximité" w:value="Objectif 04.0 - 100% des parturientes bénéficient d’un accompagnement global et adapté au retour à domicile grâce aux dispositifs de proximité"/>
                  <w:listItem w:displayText="Objectif 05.0 - Au moins 80% des femmes enceintes bénéficient d’un entretien prénatal individuel afin de repérer les grossesses à risque médico-psycho-social" w:value="Objectif 05.0 - Au moins 80% des femmes enceintes bénéficient d’un entretien prénatal individuel afin de repérer les grossesses à risque médico-psycho-social"/>
                  <w:listItem w:displayText="Objectif 05.0 - Intégrer l’hospitalisation à domicile dans la structuration des filières de soins dans 100% des projets médicaux partagés des GHT" w:value="Objectif 05.0 - Intégrer l’hospitalisation à domicile dans la structuration des filières de soins dans 100% des projets médicaux partagés des GHT"/>
                  <w:listItem w:displayText="Objectif 06.0 - 100% des nouveau-nés à risque bénéficient d’une prise en charge neuro-protectrice optimale et d’un suivi formalisé" w:value="Objectif 06.0 - 100% des nouveau-nés à risque bénéficient d’une prise en charge neuro-protectrice optimale et d’un suivi formalisé"/>
                  <w:listItem w:displayText="Objectif 07.0 - Garantir l’accès à l’IVG pour les grossesses au terme avancé (12 à 14 semaines d’aménorrhée) dans un délai de 5 jours, avec une vigilance particulière en période estivale" w:value="Objectif 07.0 - Garantir l’accès à l’IVG pour les grossesses au terme avancé (12 à 14 semaines d’aménorrhée) dans un délai de 5 jours, avec une vigilance particulière en période estivale"/>
                  <w:listItem w:displayText="Objectif 08.0 - Favoriser l’acculturation des professionnels de santé et des usagers notamment par la réalisation d’une campagne de communication régionale sur la pertinence des soins" w:value="Objectif 08.0 - Favoriser l’acculturation des professionnels de santé et des usagers notamment par la réalisation d’une campagne de communication régionale sur la pertinence des soins"/>
                  <w:listItem w:displayText="Objectif 08.0 - Les professionnels médicaux et soignants de la filière de soins critiques (inclus les soins intensifs, notamment les UNV) sont sensibilisés dans tous les services au prélèvement d’organes et aux donneurs à critères élargis" w:value="Objectif 08.0 - Les professionnels médicaux et soignants de la filière de soins critiques (inclus les soins intensifs, notamment les UNV) sont sensibilisés dans tous les services au prélèvement d’organes et aux donneurs à critères élargis"/>
                  <w:listItem w:displayText="Objectif 08.0 - Permettre l’accès à la préservation de la fertilité à toute personne atteinte de cancer" w:value="Objectif 08.0 - Permettre l’accès à la préservation de la fertilité à toute personne atteinte de cancer"/>
                </w:comboBox>
              </w:sdtPr>
              <w:sdtEndPr/>
              <w:sdtContent>
                <w:r w:rsidR="009D1504">
                  <w:rPr>
                    <w:rFonts w:ascii="Arial" w:hAnsi="Arial" w:cs="Arial"/>
                    <w:sz w:val="20"/>
                    <w:szCs w:val="20"/>
                  </w:rPr>
                  <w:t xml:space="preserve"> </w:t>
                </w:r>
              </w:sdtContent>
            </w:sdt>
          </w:p>
          <w:p w:rsidR="00BD6522" w:rsidRDefault="00AE0A60"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Axe 7 : Innovation </w:t>
            </w:r>
            <w:sdt>
              <w:sdtPr>
                <w:rPr>
                  <w:rFonts w:ascii="Arial" w:hAnsi="Arial" w:cs="Arial"/>
                  <w:sz w:val="20"/>
                  <w:szCs w:val="20"/>
                </w:rPr>
                <w:alias w:val="Objectifs Axe 7"/>
                <w:tag w:val="Objectifs Axe 7"/>
                <w:id w:val="2637394"/>
                <w:placeholder>
                  <w:docPart w:val="DefaultPlaceholder_1082065159"/>
                </w:placeholder>
                <w:showingPlcHdr/>
                <w:comboBox>
                  <w:listItem w:value="Choisissez un élément."/>
                  <w:listItem w:displayText="Objectif 01.0 - Renforcer l’offre régionale de télémédecine tout en la rendant lisible, accessible et intégrée dans les pratiques médicales" w:value="Objectif 01.0 - Renforcer l’offre régionale de télémédecine tout en la rendant lisible, accessible et intégrée dans les pratiques médicales"/>
                  <w:listItem w:displayText="Objectif 03.0 - Être en capacité d’échanger et de partager des données structurées entre professionnels de santé" w:value="Objectif 03.0 - Être en capacité d’échanger et de partager des données structurées entre professionnels de santé"/>
                  <w:listItem w:displayText="Objectif 04.0 - Permettre le développement et l’appropriation de services et usages numériques régionaux par les professionnels et les usagers" w:value="Objectif 04.0 - Permettre le développement et l’appropriation de services et usages numériques régionaux par les professionnels et les usagers"/>
                  <w:listItem w:displayText="Objectif 05.0 - Faire de l’espace numérique régional de santé un environnement de travail intégré" w:value="Objectif 05.0 - Faire de l’espace numérique régional de santé un environnement de travail intégré"/>
                </w:comboBox>
              </w:sdtPr>
              <w:sdtEndPr/>
              <w:sdtContent>
                <w:r w:rsidR="00BD6522" w:rsidRPr="00B83B06">
                  <w:rPr>
                    <w:rStyle w:val="Textedelespacerserv"/>
                  </w:rPr>
                  <w:t>Choisissez un élément.</w:t>
                </w:r>
              </w:sdtContent>
            </w:sdt>
          </w:p>
          <w:p w:rsidR="003E6827" w:rsidRDefault="00B30CB5"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w:t>
            </w:r>
            <w:r w:rsidR="00BD6522">
              <w:rPr>
                <w:rFonts w:ascii="Arial" w:hAnsi="Arial" w:cs="Arial"/>
                <w:sz w:val="20"/>
                <w:szCs w:val="20"/>
              </w:rPr>
              <w:t xml:space="preserve">Organisation de l’offre </w:t>
            </w:r>
            <w:sdt>
              <w:sdtPr>
                <w:rPr>
                  <w:rFonts w:ascii="Arial" w:hAnsi="Arial" w:cs="Arial"/>
                  <w:sz w:val="20"/>
                  <w:szCs w:val="20"/>
                </w:rPr>
                <w:alias w:val="Objectifs Offre"/>
                <w:tag w:val="Objectifs Offre"/>
                <w:id w:val="1348290561"/>
                <w:placeholder>
                  <w:docPart w:val="DefaultPlaceholder_1082065159"/>
                </w:placeholder>
                <w:showingPlcHdr/>
                <w:comboBox>
                  <w:listItem w:value="Choisissez un élément."/>
                  <w:listItem w:displayText="Objectif 01.0 - Favoriser le développement d'actions de prévention et de dépistage au sein des laboratoires de biologie médicale" w:value="Objectif 01.0 - Favoriser le développement d'actions de prévention et de dépistage au sein des laboratoires de biologie médicale"/>
                  <w:listItem w:displayText="Objectif 01.1 - Consolider la gouvernance en matière de santé transfrontalière sur l’ensemble des frontières du Grand Est" w:value="Objectif 01.1 - Consolider la gouvernance en matière de santé transfrontalière sur l’ensemble des frontières du Grand Est"/>
                  <w:listItem w:displayText="Objectif 01.2 - Consolider la gouvernance de la coopération transfrontalière franco-allemande" w:value="Objectif 01.2 - Consolider la gouvernance de la coopération transfrontalière franco-allemande"/>
                  <w:listItem w:displayText="Objectif 02.0 - Améliorer l’attractivité de la biologie médicale en particulier pour les spécialités méconnues et les nouveaux métiers de la biologie, comme la génétique" w:value="Objectif 02.0 - Améliorer l’attractivité de la biologie médicale en particulier pour les spécialités méconnues et les nouveaux métiers de la biologie, comme la génétique"/>
                  <w:listItem w:displayText="Objectif 02.1 - Améliorer l’accès aux soins et la mobilité des patients transfrontaliers franco-belges" w:value="Objectif 02.1 - Améliorer l’accès aux soins et la mobilité des patients transfrontaliers franco-belges"/>
                  <w:listItem w:displayText="Objectif 02.2 - Améliorer l’accès aux soins et la mobilité des patients transfrontaliers franco-allemands" w:value="Objectif 02.2 - Améliorer l’accès aux soins et la mobilité des patients transfrontaliers franco-allemands"/>
                  <w:listItem w:displayText="Objectif 03.0 - Élaborer un schéma de mobilisation formalisant les champs de compétences et d’actions et les rôles respectifs de chaque acteur" w:value="Objectif 03.0 - Élaborer un schéma de mobilisation formalisant les champs de compétences et d’actions et les rôles respectifs de chaque acteur"/>
                  <w:listItem w:displayText="Objectif 03.0 - Garantir la qualité de la prise en charge des personnes handicapées dans les établissements médico-sociaux wallons" w:value="Objectif 03.0 - Garantir la qualité de la prise en charge des personnes handicapées dans les établissements médico-sociaux wallons"/>
                  <w:listItem w:displayText="Objectif 03.0 - Inciter et accompagner l’interopérabilité des systèmes d’information" w:value="Objectif 03.0 - Inciter et accompagner l’interopérabilité des systèmes d’information"/>
                  <w:listItem w:displayText="Objectif 04.0 - Définir les coopérations entre la France et le Luxembourg, et entre la France et la Suisse" w:value="Objectif 04.0 - Définir les coopérations entre la France et le Luxembourg, et entre la France et la Suisse"/>
                </w:comboBox>
              </w:sdtPr>
              <w:sdtEndPr/>
              <w:sdtContent>
                <w:r w:rsidR="003E6827" w:rsidRPr="00B83B06">
                  <w:rPr>
                    <w:rStyle w:val="Textedelespacerserv"/>
                  </w:rPr>
                  <w:t>Choisissez un élément.</w:t>
                </w:r>
              </w:sdtContent>
            </w:sdt>
          </w:p>
          <w:p w:rsidR="00E22823"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3E6827">
              <w:rPr>
                <w:rFonts w:ascii="Arial" w:hAnsi="Arial" w:cs="Arial"/>
                <w:sz w:val="20"/>
                <w:szCs w:val="20"/>
              </w:rPr>
              <w:t xml:space="preserve"> </w:t>
            </w:r>
            <w:r>
              <w:rPr>
                <w:rFonts w:ascii="Arial" w:hAnsi="Arial" w:cs="Arial"/>
                <w:sz w:val="20"/>
                <w:szCs w:val="20"/>
              </w:rPr>
              <w:t>Hors</w:t>
            </w:r>
            <w:r w:rsidR="003E6827">
              <w:rPr>
                <w:rFonts w:ascii="Arial" w:hAnsi="Arial" w:cs="Arial"/>
                <w:sz w:val="20"/>
                <w:szCs w:val="20"/>
              </w:rPr>
              <w:t xml:space="preserve"> </w:t>
            </w:r>
            <w:r>
              <w:rPr>
                <w:rFonts w:ascii="Arial" w:hAnsi="Arial" w:cs="Arial"/>
                <w:sz w:val="20"/>
                <w:szCs w:val="20"/>
              </w:rPr>
              <w:t xml:space="preserve">objectifs </w:t>
            </w:r>
            <w:r w:rsidR="003E6827">
              <w:rPr>
                <w:rFonts w:ascii="Arial" w:hAnsi="Arial" w:cs="Arial"/>
                <w:sz w:val="20"/>
                <w:szCs w:val="20"/>
              </w:rPr>
              <w:t>PRS</w:t>
            </w:r>
          </w:p>
          <w:p w:rsidR="00F91A39" w:rsidRDefault="00F91A39" w:rsidP="00C20F50">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Coordination, animation et évaluation du CLS</w:t>
            </w:r>
          </w:p>
          <w:p w:rsidR="00867184" w:rsidRPr="00E92D2D" w:rsidRDefault="00867184" w:rsidP="00BD6522">
            <w:pPr>
              <w:rPr>
                <w:rFonts w:ascii="Arial" w:hAnsi="Arial" w:cs="Arial"/>
                <w:sz w:val="20"/>
                <w:szCs w:val="20"/>
              </w:rPr>
            </w:pPr>
          </w:p>
        </w:tc>
      </w:tr>
      <w:tr w:rsidR="009B2256" w:rsidRPr="00354DE9" w:rsidTr="00EE1636">
        <w:trPr>
          <w:trHeight w:val="681"/>
          <w:jc w:val="center"/>
        </w:trPr>
        <w:tc>
          <w:tcPr>
            <w:tcW w:w="2547" w:type="dxa"/>
            <w:shd w:val="clear" w:color="auto" w:fill="FFFFFF" w:themeFill="background1"/>
            <w:vAlign w:val="center"/>
          </w:tcPr>
          <w:p w:rsidR="009B2256" w:rsidRPr="00E92D2D" w:rsidRDefault="009B2256" w:rsidP="00155A3B">
            <w:pPr>
              <w:rPr>
                <w:rFonts w:ascii="Arial" w:hAnsi="Arial" w:cs="Arial"/>
                <w:b/>
                <w:sz w:val="20"/>
                <w:szCs w:val="20"/>
              </w:rPr>
            </w:pPr>
            <w:r>
              <w:rPr>
                <w:rFonts w:ascii="Arial" w:hAnsi="Arial" w:cs="Arial"/>
                <w:b/>
                <w:sz w:val="20"/>
                <w:szCs w:val="20"/>
              </w:rPr>
              <w:t>Lien avec le P</w:t>
            </w:r>
            <w:r w:rsidR="002369FA">
              <w:rPr>
                <w:rFonts w:ascii="Arial" w:hAnsi="Arial" w:cs="Arial"/>
                <w:b/>
                <w:sz w:val="20"/>
                <w:szCs w:val="20"/>
              </w:rPr>
              <w:t xml:space="preserve">lan </w:t>
            </w:r>
            <w:r>
              <w:rPr>
                <w:rFonts w:ascii="Arial" w:hAnsi="Arial" w:cs="Arial"/>
                <w:b/>
                <w:sz w:val="20"/>
                <w:szCs w:val="20"/>
              </w:rPr>
              <w:t>R</w:t>
            </w:r>
            <w:r w:rsidR="002369FA">
              <w:rPr>
                <w:rFonts w:ascii="Arial" w:hAnsi="Arial" w:cs="Arial"/>
                <w:b/>
                <w:sz w:val="20"/>
                <w:szCs w:val="20"/>
              </w:rPr>
              <w:t xml:space="preserve">égional Santé </w:t>
            </w:r>
            <w:r>
              <w:rPr>
                <w:rFonts w:ascii="Arial" w:hAnsi="Arial" w:cs="Arial"/>
                <w:b/>
                <w:sz w:val="20"/>
                <w:szCs w:val="20"/>
              </w:rPr>
              <w:t>E</w:t>
            </w:r>
            <w:r w:rsidR="002369FA">
              <w:rPr>
                <w:rFonts w:ascii="Arial" w:hAnsi="Arial" w:cs="Arial"/>
                <w:b/>
                <w:sz w:val="20"/>
                <w:szCs w:val="20"/>
              </w:rPr>
              <w:t>nvironnement</w:t>
            </w:r>
            <w:r>
              <w:rPr>
                <w:rFonts w:ascii="Arial" w:hAnsi="Arial" w:cs="Arial"/>
                <w:b/>
                <w:sz w:val="20"/>
                <w:szCs w:val="20"/>
              </w:rPr>
              <w:t xml:space="preserve"> </w:t>
            </w:r>
            <w:r w:rsidR="0091435A">
              <w:rPr>
                <w:rFonts w:ascii="Arial" w:hAnsi="Arial" w:cs="Arial"/>
                <w:b/>
                <w:sz w:val="20"/>
                <w:szCs w:val="20"/>
              </w:rPr>
              <w:t>4</w:t>
            </w:r>
          </w:p>
        </w:tc>
        <w:tc>
          <w:tcPr>
            <w:tcW w:w="6973" w:type="dxa"/>
            <w:gridSpan w:val="4"/>
            <w:vAlign w:val="center"/>
          </w:tcPr>
          <w:p w:rsidR="009B2256" w:rsidRDefault="009B2256" w:rsidP="009B2256">
            <w:pPr>
              <w:tabs>
                <w:tab w:val="left" w:pos="4501"/>
              </w:tabs>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1 : Des </w:t>
            </w:r>
            <w:r w:rsidR="0091435A">
              <w:rPr>
                <w:rFonts w:ascii="Arial" w:hAnsi="Arial" w:cs="Arial"/>
                <w:sz w:val="20"/>
                <w:szCs w:val="20"/>
              </w:rPr>
              <w:t xml:space="preserve">modes de vie et de consommation favorable à la santé </w:t>
            </w:r>
            <w:r>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2 : Un</w:t>
            </w:r>
            <w:r w:rsidR="005E0E8C">
              <w:rPr>
                <w:rFonts w:ascii="Arial" w:hAnsi="Arial" w:cs="Arial"/>
                <w:sz w:val="20"/>
                <w:szCs w:val="20"/>
              </w:rPr>
              <w:t xml:space="preserve"> aménagement du</w:t>
            </w:r>
            <w:r w:rsidR="009B2256">
              <w:rPr>
                <w:rFonts w:ascii="Arial" w:hAnsi="Arial" w:cs="Arial"/>
                <w:sz w:val="20"/>
                <w:szCs w:val="20"/>
              </w:rPr>
              <w:t xml:space="preserve"> cadre de </w:t>
            </w:r>
            <w:r w:rsidR="005E0E8C">
              <w:rPr>
                <w:rFonts w:ascii="Arial" w:hAnsi="Arial" w:cs="Arial"/>
                <w:sz w:val="20"/>
                <w:szCs w:val="20"/>
              </w:rPr>
              <w:t xml:space="preserve">vie extérieur </w:t>
            </w:r>
            <w:r w:rsidR="009B2256">
              <w:rPr>
                <w:rFonts w:ascii="Arial" w:hAnsi="Arial" w:cs="Arial"/>
                <w:sz w:val="20"/>
                <w:szCs w:val="20"/>
              </w:rPr>
              <w:t>favorable à la santé</w:t>
            </w:r>
            <w:r w:rsidR="005E0E8C">
              <w:rPr>
                <w:rFonts w:ascii="Arial" w:hAnsi="Arial" w:cs="Arial"/>
                <w:sz w:val="20"/>
                <w:szCs w:val="20"/>
              </w:rPr>
              <w:t xml:space="preserve"> et à l’environnement</w:t>
            </w:r>
            <w:r w:rsidR="009B2256">
              <w:rPr>
                <w:rFonts w:ascii="Arial" w:hAnsi="Arial" w:cs="Arial"/>
                <w:sz w:val="20"/>
                <w:szCs w:val="20"/>
              </w:rPr>
              <w:t xml:space="preserve"> </w:t>
            </w:r>
          </w:p>
          <w:p w:rsidR="009B2256" w:rsidRDefault="00B30CB5"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9B2256">
              <w:rPr>
                <w:rFonts w:ascii="Arial" w:hAnsi="Arial" w:cs="Arial"/>
                <w:sz w:val="20"/>
                <w:szCs w:val="20"/>
              </w:rPr>
              <w:t xml:space="preserve"> Axe 3 : </w:t>
            </w:r>
            <w:r w:rsidR="005E0E8C">
              <w:rPr>
                <w:rFonts w:ascii="Arial" w:hAnsi="Arial" w:cs="Arial"/>
                <w:sz w:val="20"/>
                <w:szCs w:val="20"/>
              </w:rPr>
              <w:t xml:space="preserve">Une seule santé : One </w:t>
            </w:r>
            <w:proofErr w:type="spellStart"/>
            <w:r w:rsidR="005E0E8C">
              <w:rPr>
                <w:rFonts w:ascii="Arial" w:hAnsi="Arial" w:cs="Arial"/>
                <w:sz w:val="20"/>
                <w:szCs w:val="20"/>
              </w:rPr>
              <w:t>Health</w:t>
            </w:r>
            <w:proofErr w:type="spellEnd"/>
            <w:r w:rsidR="005E0E8C">
              <w:rPr>
                <w:rFonts w:ascii="Arial" w:hAnsi="Arial" w:cs="Arial"/>
                <w:sz w:val="20"/>
                <w:szCs w:val="20"/>
              </w:rPr>
              <w:t xml:space="preserve"> </w:t>
            </w:r>
          </w:p>
          <w:p w:rsidR="005E0E8C" w:rsidRDefault="005E0E8C" w:rsidP="009B2256">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Axe 4 : La santé </w:t>
            </w:r>
            <w:proofErr w:type="gramStart"/>
            <w:r>
              <w:rPr>
                <w:rFonts w:ascii="Arial" w:hAnsi="Arial" w:cs="Arial"/>
                <w:sz w:val="20"/>
                <w:szCs w:val="20"/>
              </w:rPr>
              <w:t>environnement  dans</w:t>
            </w:r>
            <w:proofErr w:type="gramEnd"/>
            <w:r>
              <w:rPr>
                <w:rFonts w:ascii="Arial" w:hAnsi="Arial" w:cs="Arial"/>
                <w:sz w:val="20"/>
                <w:szCs w:val="20"/>
              </w:rPr>
              <w:t xml:space="preserve"> les territoires et au plus près des citoyens</w:t>
            </w:r>
          </w:p>
          <w:p w:rsidR="00880675" w:rsidRDefault="0049141B" w:rsidP="00F91A39">
            <w:pPr>
              <w:tabs>
                <w:tab w:val="left" w:pos="4501"/>
              </w:tabs>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F91A39" w:rsidRPr="00635DD5">
              <w:rPr>
                <w:rFonts w:ascii="Arial" w:hAnsi="Arial" w:cs="Arial"/>
                <w:sz w:val="20"/>
                <w:szCs w:val="20"/>
              </w:rPr>
              <w:t>Hors</w:t>
            </w:r>
            <w:r w:rsidR="00880675" w:rsidRPr="00635DD5">
              <w:rPr>
                <w:rFonts w:ascii="Arial" w:hAnsi="Arial" w:cs="Arial"/>
                <w:sz w:val="20"/>
                <w:szCs w:val="20"/>
              </w:rPr>
              <w:t xml:space="preserve"> PRSE</w:t>
            </w:r>
            <w:r w:rsidR="00880675">
              <w:rPr>
                <w:rFonts w:ascii="Arial" w:hAnsi="Arial" w:cs="Arial"/>
                <w:sz w:val="20"/>
                <w:szCs w:val="20"/>
              </w:rPr>
              <w:t xml:space="preserve"> </w:t>
            </w:r>
            <w:r w:rsidR="00587D2A">
              <w:rPr>
                <w:rFonts w:ascii="Arial" w:hAnsi="Arial" w:cs="Arial"/>
                <w:sz w:val="20"/>
                <w:szCs w:val="20"/>
              </w:rPr>
              <w:t>4</w:t>
            </w:r>
          </w:p>
        </w:tc>
      </w:tr>
      <w:tr w:rsidR="005C6B90" w:rsidRPr="00354DE9" w:rsidTr="00EE1636">
        <w:trPr>
          <w:jc w:val="center"/>
        </w:trPr>
        <w:tc>
          <w:tcPr>
            <w:tcW w:w="2547" w:type="dxa"/>
            <w:shd w:val="clear" w:color="auto" w:fill="FFFFFF" w:themeFill="background1"/>
            <w:vAlign w:val="center"/>
          </w:tcPr>
          <w:p w:rsidR="005C6B90" w:rsidRPr="00354DE9" w:rsidRDefault="005C6B90" w:rsidP="00454C16">
            <w:pPr>
              <w:rPr>
                <w:rFonts w:ascii="Arial" w:hAnsi="Arial" w:cs="Arial"/>
                <w:b/>
                <w:sz w:val="20"/>
                <w:szCs w:val="20"/>
              </w:rPr>
            </w:pPr>
            <w:r>
              <w:rPr>
                <w:rFonts w:ascii="Arial" w:hAnsi="Arial" w:cs="Arial"/>
                <w:b/>
                <w:sz w:val="20"/>
                <w:szCs w:val="20"/>
              </w:rPr>
              <w:t xml:space="preserve">Objectif général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8B1140" w:rsidRPr="00354DE9" w:rsidRDefault="0097702E" w:rsidP="0049141B">
            <w:pPr>
              <w:jc w:val="both"/>
              <w:rPr>
                <w:rFonts w:ascii="Arial" w:hAnsi="Arial" w:cs="Arial"/>
                <w:sz w:val="20"/>
                <w:szCs w:val="20"/>
              </w:rPr>
            </w:pPr>
            <w:r w:rsidRPr="0097702E">
              <w:rPr>
                <w:rFonts w:ascii="Arial" w:hAnsi="Arial" w:cs="Arial"/>
                <w:sz w:val="20"/>
                <w:szCs w:val="20"/>
              </w:rPr>
              <w:t>Promouvoir auprès des médecins l’attrait et les bénéfices des équipes coordonnées</w:t>
            </w:r>
          </w:p>
        </w:tc>
      </w:tr>
      <w:tr w:rsidR="00354DE9" w:rsidRPr="00354DE9" w:rsidTr="00EE1636">
        <w:trPr>
          <w:jc w:val="center"/>
        </w:trPr>
        <w:tc>
          <w:tcPr>
            <w:tcW w:w="2547" w:type="dxa"/>
            <w:shd w:val="clear" w:color="auto" w:fill="FFFFFF" w:themeFill="background1"/>
            <w:vAlign w:val="center"/>
          </w:tcPr>
          <w:p w:rsidR="009507D8" w:rsidRPr="00354DE9" w:rsidRDefault="009507D8" w:rsidP="00155A3B">
            <w:pPr>
              <w:rPr>
                <w:rFonts w:ascii="Arial" w:hAnsi="Arial" w:cs="Arial"/>
                <w:b/>
                <w:sz w:val="20"/>
                <w:szCs w:val="20"/>
              </w:rPr>
            </w:pPr>
            <w:r w:rsidRPr="00354DE9">
              <w:rPr>
                <w:rFonts w:ascii="Arial" w:hAnsi="Arial" w:cs="Arial"/>
                <w:b/>
                <w:sz w:val="20"/>
                <w:szCs w:val="20"/>
              </w:rPr>
              <w:t xml:space="preserve">Objectifs </w:t>
            </w:r>
            <w:r w:rsidR="00354DE9" w:rsidRPr="00354DE9">
              <w:rPr>
                <w:rFonts w:ascii="Arial" w:hAnsi="Arial" w:cs="Arial"/>
                <w:b/>
                <w:sz w:val="20"/>
                <w:szCs w:val="20"/>
              </w:rPr>
              <w:t>spécifiques</w:t>
            </w:r>
            <w:r w:rsidR="00454C16">
              <w:rPr>
                <w:rFonts w:ascii="Arial" w:hAnsi="Arial" w:cs="Arial"/>
                <w:b/>
                <w:sz w:val="20"/>
                <w:szCs w:val="20"/>
              </w:rPr>
              <w:t xml:space="preserve"> </w:t>
            </w:r>
            <w:r w:rsidR="00454C16" w:rsidRPr="00454C16">
              <w:rPr>
                <w:rFonts w:ascii="Arial" w:hAnsi="Arial" w:cs="Arial"/>
                <w:i/>
                <w:color w:val="002060"/>
                <w:sz w:val="16"/>
                <w:szCs w:val="20"/>
              </w:rPr>
              <w:t>(si indiqué)</w:t>
            </w:r>
          </w:p>
        </w:tc>
        <w:tc>
          <w:tcPr>
            <w:tcW w:w="6973" w:type="dxa"/>
            <w:gridSpan w:val="4"/>
            <w:shd w:val="clear" w:color="auto" w:fill="auto"/>
            <w:vAlign w:val="center"/>
          </w:tcPr>
          <w:p w:rsidR="001D5A64" w:rsidRDefault="0049141B" w:rsidP="0049141B">
            <w:pPr>
              <w:pStyle w:val="Paragraphedeliste"/>
              <w:numPr>
                <w:ilvl w:val="0"/>
                <w:numId w:val="6"/>
              </w:numPr>
              <w:rPr>
                <w:rFonts w:ascii="Arial" w:hAnsi="Arial" w:cs="Arial"/>
                <w:sz w:val="20"/>
                <w:szCs w:val="20"/>
              </w:rPr>
            </w:pPr>
            <w:r>
              <w:rPr>
                <w:rFonts w:ascii="Arial" w:hAnsi="Arial" w:cs="Arial"/>
                <w:sz w:val="20"/>
                <w:szCs w:val="20"/>
              </w:rPr>
              <w:t>Coordonner les forces des différents acteurs sur la mise en place des exercices coordonnées</w:t>
            </w:r>
          </w:p>
          <w:p w:rsidR="0049141B" w:rsidRPr="0049141B" w:rsidRDefault="00FD77E9" w:rsidP="0049141B">
            <w:pPr>
              <w:pStyle w:val="Paragraphedeliste"/>
              <w:numPr>
                <w:ilvl w:val="0"/>
                <w:numId w:val="6"/>
              </w:numPr>
              <w:rPr>
                <w:rFonts w:ascii="Arial" w:hAnsi="Arial" w:cs="Arial"/>
                <w:sz w:val="20"/>
                <w:szCs w:val="20"/>
              </w:rPr>
            </w:pPr>
            <w:r>
              <w:rPr>
                <w:rFonts w:ascii="Arial" w:hAnsi="Arial" w:cs="Arial"/>
                <w:sz w:val="20"/>
                <w:szCs w:val="20"/>
              </w:rPr>
              <w:t>Mettre en place une stratégie commune</w:t>
            </w:r>
          </w:p>
        </w:tc>
      </w:tr>
      <w:tr w:rsidR="00354DE9" w:rsidRPr="00354DE9" w:rsidTr="00EE1636">
        <w:trPr>
          <w:trHeight w:val="28"/>
          <w:jc w:val="center"/>
        </w:trPr>
        <w:tc>
          <w:tcPr>
            <w:tcW w:w="2547" w:type="dxa"/>
            <w:shd w:val="clear" w:color="auto" w:fill="FFFFFF" w:themeFill="background1"/>
            <w:vAlign w:val="center"/>
          </w:tcPr>
          <w:p w:rsidR="00003907" w:rsidRPr="00354DE9" w:rsidRDefault="00354DE9" w:rsidP="00155A3B">
            <w:pPr>
              <w:rPr>
                <w:rFonts w:ascii="Arial" w:hAnsi="Arial" w:cs="Arial"/>
                <w:i/>
                <w:sz w:val="20"/>
                <w:szCs w:val="20"/>
              </w:rPr>
            </w:pPr>
            <w:r w:rsidRPr="00354DE9">
              <w:rPr>
                <w:rFonts w:ascii="Arial" w:hAnsi="Arial" w:cs="Arial"/>
                <w:b/>
                <w:sz w:val="20"/>
                <w:szCs w:val="20"/>
              </w:rPr>
              <w:t>Objectifs opérationnels</w:t>
            </w:r>
          </w:p>
        </w:tc>
        <w:tc>
          <w:tcPr>
            <w:tcW w:w="6973" w:type="dxa"/>
            <w:gridSpan w:val="4"/>
            <w:vAlign w:val="center"/>
          </w:tcPr>
          <w:p w:rsidR="00FD77E9" w:rsidRDefault="00FD77E9" w:rsidP="00A84D22">
            <w:pPr>
              <w:rPr>
                <w:rFonts w:ascii="Arial" w:hAnsi="Arial" w:cs="Arial"/>
                <w:sz w:val="20"/>
                <w:szCs w:val="20"/>
              </w:rPr>
            </w:pPr>
            <w:r>
              <w:rPr>
                <w:rFonts w:ascii="Arial" w:hAnsi="Arial" w:cs="Arial"/>
                <w:sz w:val="20"/>
                <w:szCs w:val="20"/>
              </w:rPr>
              <w:t xml:space="preserve">A.1 Mettre en place un organe territorial de coordination </w:t>
            </w:r>
          </w:p>
          <w:p w:rsidR="00FD77E9" w:rsidRDefault="00FD77E9" w:rsidP="00A84D22">
            <w:pPr>
              <w:rPr>
                <w:rFonts w:ascii="Arial" w:hAnsi="Arial" w:cs="Arial"/>
                <w:sz w:val="20"/>
                <w:szCs w:val="20"/>
              </w:rPr>
            </w:pPr>
          </w:p>
          <w:p w:rsidR="00FD77E9" w:rsidRPr="00354DE9" w:rsidRDefault="00FD77E9" w:rsidP="00A84D22">
            <w:pPr>
              <w:rPr>
                <w:rFonts w:ascii="Arial" w:hAnsi="Arial" w:cs="Arial"/>
                <w:sz w:val="20"/>
                <w:szCs w:val="20"/>
              </w:rPr>
            </w:pPr>
            <w:r>
              <w:rPr>
                <w:rFonts w:ascii="Arial" w:hAnsi="Arial" w:cs="Arial"/>
                <w:sz w:val="20"/>
                <w:szCs w:val="20"/>
              </w:rPr>
              <w:t xml:space="preserve">B.1 </w:t>
            </w:r>
            <w:r w:rsidR="007716C5">
              <w:rPr>
                <w:rFonts w:ascii="Arial" w:hAnsi="Arial" w:cs="Arial"/>
                <w:sz w:val="20"/>
                <w:szCs w:val="20"/>
              </w:rPr>
              <w:t xml:space="preserve">Structurer un plan d’action </w:t>
            </w:r>
          </w:p>
        </w:tc>
      </w:tr>
      <w:tr w:rsidR="00354DE9" w:rsidRPr="00354DE9" w:rsidTr="00996C61">
        <w:trPr>
          <w:trHeight w:val="567"/>
          <w:jc w:val="center"/>
        </w:trPr>
        <w:tc>
          <w:tcPr>
            <w:tcW w:w="2547" w:type="dxa"/>
            <w:shd w:val="clear" w:color="auto" w:fill="auto"/>
            <w:vAlign w:val="center"/>
          </w:tcPr>
          <w:p w:rsidR="0057104E" w:rsidRPr="00354DE9" w:rsidRDefault="0057104E" w:rsidP="00BA59FE">
            <w:pPr>
              <w:rPr>
                <w:rFonts w:ascii="Arial" w:hAnsi="Arial" w:cs="Arial"/>
                <w:b/>
                <w:sz w:val="20"/>
                <w:szCs w:val="20"/>
              </w:rPr>
            </w:pPr>
            <w:r w:rsidRPr="00354DE9">
              <w:rPr>
                <w:rFonts w:ascii="Arial" w:hAnsi="Arial" w:cs="Arial"/>
                <w:b/>
                <w:sz w:val="20"/>
                <w:szCs w:val="20"/>
              </w:rPr>
              <w:t>Etapes de mise en œuvre – Description</w:t>
            </w:r>
          </w:p>
        </w:tc>
        <w:tc>
          <w:tcPr>
            <w:tcW w:w="6973" w:type="dxa"/>
            <w:gridSpan w:val="4"/>
            <w:shd w:val="clear" w:color="auto" w:fill="auto"/>
            <w:vAlign w:val="center"/>
          </w:tcPr>
          <w:p w:rsidR="007716C5" w:rsidRPr="00185572" w:rsidRDefault="007716C5" w:rsidP="007716C5">
            <w:pPr>
              <w:jc w:val="center"/>
              <w:rPr>
                <w:rFonts w:cstheme="minorHAnsi"/>
                <w:b/>
                <w:szCs w:val="20"/>
              </w:rPr>
            </w:pPr>
            <w:r w:rsidRPr="00185572">
              <w:rPr>
                <w:rFonts w:cstheme="minorHAnsi"/>
                <w:b/>
                <w:szCs w:val="20"/>
              </w:rPr>
              <w:t>Coordonner les forces des différents acteurs sur la mise en place des exercices coordonnées</w:t>
            </w:r>
          </w:p>
          <w:p w:rsidR="007716C5" w:rsidRDefault="007716C5" w:rsidP="0003703E">
            <w:pPr>
              <w:jc w:val="both"/>
              <w:rPr>
                <w:b/>
              </w:rPr>
            </w:pPr>
          </w:p>
          <w:p w:rsidR="003F4EAB" w:rsidRDefault="007716C5" w:rsidP="0003703E">
            <w:pPr>
              <w:jc w:val="both"/>
            </w:pPr>
            <w:r w:rsidRPr="003F4EAB">
              <w:lastRenderedPageBreak/>
              <w:t xml:space="preserve">La </w:t>
            </w:r>
            <w:r w:rsidR="003F4EAB" w:rsidRPr="003F4EAB">
              <w:t>c</w:t>
            </w:r>
            <w:r w:rsidR="0003703E" w:rsidRPr="003F4EAB">
              <w:t xml:space="preserve">onstitution </w:t>
            </w:r>
            <w:r w:rsidR="0003703E">
              <w:t xml:space="preserve">d’un comité territorial pour </w:t>
            </w:r>
            <w:r w:rsidR="0049141B">
              <w:t>l</w:t>
            </w:r>
            <w:r w:rsidR="0003703E">
              <w:t>a promotion des équipes coordonnées</w:t>
            </w:r>
            <w:r>
              <w:t xml:space="preserve"> </w:t>
            </w:r>
            <w:r w:rsidR="00B75085">
              <w:t xml:space="preserve">(ESP, MSP, CPTS) </w:t>
            </w:r>
            <w:r>
              <w:t xml:space="preserve">est la première étape, celle-ci doit inclure les instances ayant des stratégies </w:t>
            </w:r>
            <w:r w:rsidR="003F4EAB">
              <w:t xml:space="preserve">sur la mise en place des exercices coordonnées (ARS/ </w:t>
            </w:r>
            <w:proofErr w:type="spellStart"/>
            <w:r w:rsidR="003F4EAB">
              <w:t>CeA</w:t>
            </w:r>
            <w:proofErr w:type="spellEnd"/>
            <w:r w:rsidR="003F4EAB">
              <w:t>/ Région/CPAM/ MSA)</w:t>
            </w:r>
            <w:r w:rsidR="003C7B4A">
              <w:t xml:space="preserve"> </w:t>
            </w:r>
            <w:r>
              <w:t>mais aussi les élus locaux</w:t>
            </w:r>
            <w:r w:rsidR="003F4EAB">
              <w:t xml:space="preserve"> et les exercices coordonnés déjà en place sur le territoire.</w:t>
            </w:r>
            <w:r>
              <w:t xml:space="preserve"> </w:t>
            </w:r>
            <w:bookmarkStart w:id="2" w:name="_GoBack"/>
            <w:bookmarkEnd w:id="2"/>
          </w:p>
          <w:p w:rsidR="003F4EAB" w:rsidRDefault="003F4EAB" w:rsidP="0003703E">
            <w:pPr>
              <w:jc w:val="both"/>
              <w:rPr>
                <w:b/>
              </w:rPr>
            </w:pPr>
          </w:p>
          <w:p w:rsidR="00185572" w:rsidRDefault="00185572" w:rsidP="00185572">
            <w:pPr>
              <w:jc w:val="center"/>
              <w:rPr>
                <w:b/>
              </w:rPr>
            </w:pPr>
            <w:r w:rsidRPr="00185572">
              <w:rPr>
                <w:b/>
              </w:rPr>
              <w:t>Mettre en place une stratégie commune</w:t>
            </w:r>
          </w:p>
          <w:p w:rsidR="00185572" w:rsidRDefault="00185572" w:rsidP="00185572">
            <w:pPr>
              <w:jc w:val="center"/>
              <w:rPr>
                <w:b/>
              </w:rPr>
            </w:pPr>
          </w:p>
          <w:p w:rsidR="0003703E" w:rsidRDefault="00587EDF" w:rsidP="0003703E">
            <w:pPr>
              <w:jc w:val="both"/>
            </w:pPr>
            <w:r>
              <w:t xml:space="preserve">Une fois le comité mis en place celui aura pour but de </w:t>
            </w:r>
            <w:r w:rsidR="0003703E">
              <w:t>détermin</w:t>
            </w:r>
            <w:r>
              <w:t>er</w:t>
            </w:r>
            <w:r w:rsidR="0003703E">
              <w:t xml:space="preserve"> la structuration d’une stratégie d’aller vers, collective et individuelle</w:t>
            </w:r>
            <w:r>
              <w:t>.</w:t>
            </w:r>
            <w:r w:rsidR="0003703E">
              <w:t xml:space="preserve"> </w:t>
            </w:r>
            <w:r w:rsidR="00A12063">
              <w:t>Chaque institution possède sa stratégie de développement des exercices coordonnés, il s’agira de s’accorder sur un développement territorial commun : ESP, CPTS, MSP.</w:t>
            </w:r>
          </w:p>
          <w:p w:rsidR="00587EDF" w:rsidRDefault="00587EDF" w:rsidP="0003703E">
            <w:pPr>
              <w:jc w:val="both"/>
            </w:pPr>
          </w:p>
          <w:p w:rsidR="0003703E" w:rsidRDefault="00587EDF" w:rsidP="0003703E">
            <w:pPr>
              <w:jc w:val="both"/>
            </w:pPr>
            <w:r>
              <w:t>Il programmera et organiser</w:t>
            </w:r>
            <w:r w:rsidR="00B16701">
              <w:t>a</w:t>
            </w:r>
            <w:r w:rsidR="0003703E">
              <w:t xml:space="preserve"> les évènements locaux </w:t>
            </w:r>
            <w:r w:rsidR="00206A23">
              <w:t xml:space="preserve">(rencontre interprofessionnelle) </w:t>
            </w:r>
            <w:r w:rsidR="0003703E">
              <w:t>sur l’ensemble du territoire</w:t>
            </w:r>
            <w:r>
              <w:t>.</w:t>
            </w:r>
          </w:p>
          <w:p w:rsidR="0057104E" w:rsidRPr="00354DE9" w:rsidRDefault="0057104E" w:rsidP="00B30CB5">
            <w:pPr>
              <w:ind w:left="720"/>
              <w:contextualSpacing/>
              <w:rPr>
                <w:rFonts w:ascii="Arial" w:hAnsi="Arial" w:cs="Arial"/>
                <w:sz w:val="20"/>
                <w:szCs w:val="20"/>
              </w:rPr>
            </w:pPr>
          </w:p>
        </w:tc>
      </w:tr>
      <w:tr w:rsidR="005C4530" w:rsidRPr="00354DE9" w:rsidTr="00996C61">
        <w:trPr>
          <w:trHeight w:val="285"/>
          <w:jc w:val="center"/>
        </w:trPr>
        <w:tc>
          <w:tcPr>
            <w:tcW w:w="2547" w:type="dxa"/>
            <w:shd w:val="clear" w:color="auto" w:fill="auto"/>
            <w:vAlign w:val="center"/>
          </w:tcPr>
          <w:p w:rsidR="005C4530" w:rsidRPr="00354DE9" w:rsidRDefault="005C4530" w:rsidP="00562D16">
            <w:pPr>
              <w:rPr>
                <w:rFonts w:ascii="Arial" w:hAnsi="Arial" w:cs="Arial"/>
                <w:b/>
                <w:sz w:val="20"/>
                <w:szCs w:val="20"/>
              </w:rPr>
            </w:pPr>
            <w:r>
              <w:rPr>
                <w:rFonts w:ascii="Arial" w:hAnsi="Arial" w:cs="Arial"/>
                <w:b/>
                <w:sz w:val="20"/>
                <w:szCs w:val="20"/>
              </w:rPr>
              <w:lastRenderedPageBreak/>
              <w:t>Durée de l’action</w:t>
            </w:r>
          </w:p>
        </w:tc>
        <w:tc>
          <w:tcPr>
            <w:tcW w:w="6973" w:type="dxa"/>
            <w:gridSpan w:val="4"/>
            <w:tcBorders>
              <w:bottom w:val="single" w:sz="4" w:space="0" w:color="auto"/>
            </w:tcBorders>
            <w:shd w:val="clear" w:color="auto" w:fill="auto"/>
            <w:vAlign w:val="center"/>
          </w:tcPr>
          <w:p w:rsidR="005C4530" w:rsidRPr="00354DE9" w:rsidRDefault="005C4530" w:rsidP="008B1140">
            <w:pPr>
              <w:rPr>
                <w:rFonts w:ascii="Arial" w:hAnsi="Arial" w:cs="Arial"/>
                <w:sz w:val="20"/>
                <w:szCs w:val="20"/>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Annuelle</w:t>
            </w:r>
            <w:r w:rsidR="00454C16">
              <w:rPr>
                <w:rFonts w:ascii="Arial" w:hAnsi="Arial" w:cs="Arial"/>
                <w:sz w:val="20"/>
                <w:szCs w:val="20"/>
              </w:rPr>
              <w:t> </w:t>
            </w:r>
            <w:r w:rsidR="00454C16" w:rsidRPr="00635DD5">
              <w:rPr>
                <w:rFonts w:ascii="Arial" w:hAnsi="Arial" w:cs="Arial"/>
                <w:sz w:val="20"/>
                <w:szCs w:val="20"/>
              </w:rPr>
              <w:t>:</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454C16" w:rsidRPr="00635DD5">
              <w:rPr>
                <w:rFonts w:ascii="Arial" w:hAnsi="Arial" w:cs="Arial"/>
                <w:sz w:val="20"/>
                <w:szCs w:val="20"/>
              </w:rPr>
              <w:t xml:space="preserve">     </w:t>
            </w:r>
            <w:r w:rsidRPr="00635DD5">
              <w:rPr>
                <w:rFonts w:ascii="Arial" w:hAnsi="Arial" w:cs="Arial"/>
                <w:sz w:val="20"/>
                <w:szCs w:val="20"/>
              </w:rPr>
              <w:t xml:space="preserve"> </w:t>
            </w:r>
            <w:r w:rsidR="0003703E">
              <w:rPr>
                <w:rFonts w:ascii="Arial" w:hAnsi="Arial" w:cs="Arial"/>
                <w:sz w:val="20"/>
                <w:szCs w:val="20"/>
              </w:rPr>
              <w:fldChar w:fldCharType="begin">
                <w:ffData>
                  <w:name w:val=""/>
                  <w:enabled/>
                  <w:calcOnExit w:val="0"/>
                  <w:checkBox>
                    <w:sizeAuto/>
                    <w:default w:val="1"/>
                  </w:checkBox>
                </w:ffData>
              </w:fldChar>
            </w:r>
            <w:r w:rsidR="0003703E">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03703E">
              <w:rPr>
                <w:rFonts w:ascii="Arial" w:hAnsi="Arial" w:cs="Arial"/>
                <w:sz w:val="20"/>
                <w:szCs w:val="20"/>
              </w:rPr>
              <w:fldChar w:fldCharType="end"/>
            </w:r>
            <w:r w:rsidRPr="00635DD5">
              <w:rPr>
                <w:rFonts w:ascii="Arial" w:hAnsi="Arial" w:cs="Arial"/>
                <w:sz w:val="20"/>
                <w:szCs w:val="20"/>
              </w:rPr>
              <w:t xml:space="preserve">  Pluriannuelle</w:t>
            </w:r>
            <w:r>
              <w:rPr>
                <w:rFonts w:ascii="Arial" w:hAnsi="Arial" w:cs="Arial"/>
                <w:sz w:val="20"/>
                <w:szCs w:val="20"/>
              </w:rPr>
              <w:t> :</w:t>
            </w:r>
            <w:r w:rsidR="00454C16">
              <w:rPr>
                <w:rFonts w:ascii="Arial" w:hAnsi="Arial" w:cs="Arial"/>
                <w:sz w:val="20"/>
                <w:szCs w:val="20"/>
              </w:rPr>
              <w:t xml:space="preserve">               </w:t>
            </w:r>
            <w:r>
              <w:rPr>
                <w:rFonts w:ascii="Arial" w:hAnsi="Arial" w:cs="Arial"/>
                <w:sz w:val="20"/>
                <w:szCs w:val="20"/>
              </w:rPr>
              <w:t xml:space="preserve"> </w:t>
            </w:r>
            <w:r w:rsidR="00454C16">
              <w:rPr>
                <w:rFonts w:ascii="Arial" w:hAnsi="Arial" w:cs="Arial"/>
                <w:sz w:val="20"/>
                <w:szCs w:val="20"/>
              </w:rPr>
              <w:fldChar w:fldCharType="begin">
                <w:ffData>
                  <w:name w:val="CaseACocher62"/>
                  <w:enabled/>
                  <w:calcOnExit w:val="0"/>
                  <w:checkBox>
                    <w:sizeAuto/>
                    <w:default w:val="0"/>
                  </w:checkBox>
                </w:ffData>
              </w:fldChar>
            </w:r>
            <w:r w:rsidR="00454C16">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454C16">
              <w:rPr>
                <w:rFonts w:ascii="Arial" w:hAnsi="Arial" w:cs="Arial"/>
                <w:sz w:val="20"/>
                <w:szCs w:val="20"/>
              </w:rPr>
              <w:fldChar w:fldCharType="end"/>
            </w:r>
            <w:r w:rsidR="00454C16">
              <w:rPr>
                <w:rFonts w:ascii="Arial" w:hAnsi="Arial" w:cs="Arial"/>
                <w:sz w:val="20"/>
                <w:szCs w:val="20"/>
              </w:rPr>
              <w:t>Ponctuelle :</w:t>
            </w:r>
            <w:r>
              <w:rPr>
                <w:rFonts w:ascii="Arial" w:hAnsi="Arial" w:cs="Arial"/>
                <w:sz w:val="20"/>
                <w:szCs w:val="20"/>
              </w:rPr>
              <w:br/>
            </w:r>
            <w:r>
              <w:rPr>
                <w:rFonts w:ascii="Arial" w:hAnsi="Arial" w:cs="Arial"/>
                <w:sz w:val="20"/>
                <w:szCs w:val="20"/>
              </w:rPr>
              <w:br/>
              <w:t>Début :</w:t>
            </w:r>
            <w:r w:rsidR="00B30CB5">
              <w:rPr>
                <w:rFonts w:ascii="Arial" w:hAnsi="Arial" w:cs="Arial"/>
                <w:sz w:val="20"/>
                <w:szCs w:val="20"/>
              </w:rPr>
              <w:t xml:space="preserve">    </w:t>
            </w:r>
            <w:r w:rsidR="004337A3">
              <w:rPr>
                <w:rFonts w:ascii="Arial" w:hAnsi="Arial" w:cs="Arial"/>
                <w:sz w:val="20"/>
                <w:szCs w:val="20"/>
              </w:rPr>
              <w:t>2025</w:t>
            </w:r>
            <w:r w:rsidR="00B30CB5">
              <w:rPr>
                <w:rFonts w:ascii="Arial" w:hAnsi="Arial" w:cs="Arial"/>
                <w:sz w:val="20"/>
                <w:szCs w:val="20"/>
              </w:rPr>
              <w:t xml:space="preserve">                          </w:t>
            </w:r>
            <w:r>
              <w:rPr>
                <w:rFonts w:ascii="Arial" w:hAnsi="Arial" w:cs="Arial"/>
                <w:sz w:val="20"/>
                <w:szCs w:val="20"/>
              </w:rPr>
              <w:t xml:space="preserve"> Fin : </w:t>
            </w:r>
            <w:r w:rsidR="004337A3">
              <w:rPr>
                <w:rFonts w:ascii="Arial" w:hAnsi="Arial" w:cs="Arial"/>
                <w:sz w:val="20"/>
                <w:szCs w:val="20"/>
              </w:rPr>
              <w:t>2029</w:t>
            </w:r>
          </w:p>
        </w:tc>
      </w:tr>
      <w:tr w:rsidR="00354DE9" w:rsidRPr="00354DE9" w:rsidTr="00996C61">
        <w:trPr>
          <w:trHeight w:val="285"/>
          <w:jc w:val="center"/>
        </w:trPr>
        <w:tc>
          <w:tcPr>
            <w:tcW w:w="2547" w:type="dxa"/>
            <w:shd w:val="clear" w:color="auto" w:fill="auto"/>
            <w:vAlign w:val="center"/>
          </w:tcPr>
          <w:p w:rsidR="008E2932" w:rsidRPr="00354DE9" w:rsidRDefault="008E2932" w:rsidP="00562D16">
            <w:pPr>
              <w:rPr>
                <w:rFonts w:ascii="Arial" w:hAnsi="Arial" w:cs="Arial"/>
                <w:b/>
                <w:sz w:val="20"/>
                <w:szCs w:val="20"/>
              </w:rPr>
            </w:pPr>
            <w:r w:rsidRPr="00354DE9">
              <w:rPr>
                <w:rFonts w:ascii="Arial" w:hAnsi="Arial" w:cs="Arial"/>
                <w:b/>
                <w:sz w:val="20"/>
                <w:szCs w:val="20"/>
              </w:rPr>
              <w:t xml:space="preserve">Partenaires </w:t>
            </w:r>
            <w:r w:rsidR="00562D16">
              <w:rPr>
                <w:rFonts w:ascii="Arial" w:hAnsi="Arial" w:cs="Arial"/>
                <w:b/>
                <w:sz w:val="20"/>
                <w:szCs w:val="20"/>
              </w:rPr>
              <w:t>de l’action</w:t>
            </w:r>
          </w:p>
        </w:tc>
        <w:tc>
          <w:tcPr>
            <w:tcW w:w="6973" w:type="dxa"/>
            <w:gridSpan w:val="4"/>
            <w:tcBorders>
              <w:bottom w:val="single" w:sz="4" w:space="0" w:color="auto"/>
            </w:tcBorders>
            <w:shd w:val="clear" w:color="auto" w:fill="auto"/>
            <w:vAlign w:val="center"/>
          </w:tcPr>
          <w:p w:rsidR="005843B6" w:rsidRPr="00354DE9" w:rsidRDefault="0003703E" w:rsidP="00F16670">
            <w:pPr>
              <w:rPr>
                <w:rFonts w:ascii="Arial" w:hAnsi="Arial" w:cs="Arial"/>
                <w:sz w:val="20"/>
                <w:szCs w:val="20"/>
              </w:rPr>
            </w:pPr>
            <w:proofErr w:type="gramStart"/>
            <w:r w:rsidRPr="0003703E">
              <w:rPr>
                <w:rFonts w:ascii="Arial" w:hAnsi="Arial" w:cs="Arial"/>
                <w:sz w:val="20"/>
                <w:szCs w:val="20"/>
              </w:rPr>
              <w:t>représentants</w:t>
            </w:r>
            <w:proofErr w:type="gramEnd"/>
            <w:r w:rsidRPr="0003703E">
              <w:rPr>
                <w:rFonts w:ascii="Arial" w:hAnsi="Arial" w:cs="Arial"/>
                <w:sz w:val="20"/>
                <w:szCs w:val="20"/>
              </w:rPr>
              <w:t xml:space="preserve"> des intercommunalités, la </w:t>
            </w:r>
            <w:proofErr w:type="spellStart"/>
            <w:r w:rsidRPr="0003703E">
              <w:rPr>
                <w:rFonts w:ascii="Arial" w:hAnsi="Arial" w:cs="Arial"/>
                <w:sz w:val="20"/>
                <w:szCs w:val="20"/>
              </w:rPr>
              <w:t>CeA</w:t>
            </w:r>
            <w:proofErr w:type="spellEnd"/>
            <w:r w:rsidRPr="0003703E">
              <w:rPr>
                <w:rFonts w:ascii="Arial" w:hAnsi="Arial" w:cs="Arial"/>
                <w:sz w:val="20"/>
                <w:szCs w:val="20"/>
              </w:rPr>
              <w:t>, l’ARS, les CPTS …</w:t>
            </w:r>
          </w:p>
        </w:tc>
      </w:tr>
      <w:tr w:rsidR="0046751A" w:rsidRPr="00354DE9" w:rsidTr="00996C61">
        <w:trPr>
          <w:jc w:val="center"/>
        </w:trPr>
        <w:tc>
          <w:tcPr>
            <w:tcW w:w="2547" w:type="dxa"/>
            <w:shd w:val="clear" w:color="auto" w:fill="auto"/>
            <w:vAlign w:val="center"/>
          </w:tcPr>
          <w:p w:rsidR="0046751A" w:rsidRPr="00354DE9" w:rsidRDefault="0046751A" w:rsidP="00BA59FE">
            <w:pPr>
              <w:rPr>
                <w:rFonts w:ascii="Arial" w:hAnsi="Arial" w:cs="Arial"/>
                <w:b/>
                <w:sz w:val="20"/>
                <w:szCs w:val="20"/>
              </w:rPr>
            </w:pPr>
            <w:r w:rsidRPr="00354DE9">
              <w:rPr>
                <w:rFonts w:ascii="Arial" w:hAnsi="Arial" w:cs="Arial"/>
                <w:b/>
                <w:sz w:val="20"/>
                <w:szCs w:val="20"/>
              </w:rPr>
              <w:t>Public visé</w:t>
            </w:r>
          </w:p>
        </w:tc>
        <w:tc>
          <w:tcPr>
            <w:tcW w:w="3486" w:type="dxa"/>
            <w:gridSpan w:val="3"/>
            <w:shd w:val="clear" w:color="auto" w:fill="auto"/>
            <w:vAlign w:val="center"/>
          </w:tcPr>
          <w:p w:rsidR="00AC64C8"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AC64C8" w:rsidRPr="00EA7DFE">
              <w:rPr>
                <w:rFonts w:ascii="Arial" w:eastAsia="Times New Roman" w:hAnsi="Arial" w:cs="Arial"/>
                <w:sz w:val="20"/>
                <w:szCs w:val="20"/>
                <w:lang w:eastAsia="fr-FR"/>
              </w:rPr>
              <w:t>Jeunes enfants (0 à 6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 xml:space="preserve">Enfants (7 à 11 ans) </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Adolescents (12 à 15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Jeunes Adultes (16 à 25 ans)</w:t>
            </w:r>
            <w:r w:rsidR="0046751A" w:rsidRPr="00EA7DFE">
              <w:rPr>
                <w:rFonts w:ascii="Arial" w:eastAsia="Times New Roman" w:hAnsi="Arial" w:cs="Arial"/>
                <w:sz w:val="20"/>
                <w:szCs w:val="20"/>
                <w:lang w:eastAsia="fr-FR"/>
              </w:rPr>
              <w:tab/>
            </w:r>
          </w:p>
          <w:p w:rsidR="0046751A" w:rsidRPr="00EA7DFE" w:rsidRDefault="0046751A" w:rsidP="00BA59FE">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EA7DFE">
              <w:rPr>
                <w:rFonts w:ascii="Arial" w:hAnsi="Arial" w:cs="Arial"/>
                <w:sz w:val="20"/>
                <w:szCs w:val="20"/>
              </w:rPr>
              <w:fldChar w:fldCharType="end"/>
            </w:r>
            <w:r w:rsidRPr="00EA7DFE">
              <w:rPr>
                <w:rFonts w:ascii="Arial" w:hAnsi="Arial" w:cs="Arial"/>
                <w:sz w:val="20"/>
                <w:szCs w:val="20"/>
              </w:rPr>
              <w:t xml:space="preserve"> </w:t>
            </w:r>
            <w:r w:rsidRPr="00EA7DFE">
              <w:rPr>
                <w:rFonts w:ascii="Arial" w:eastAsia="Times New Roman" w:hAnsi="Arial" w:cs="Arial"/>
                <w:sz w:val="20"/>
                <w:szCs w:val="20"/>
                <w:lang w:eastAsia="fr-FR"/>
              </w:rPr>
              <w:t>Adultes (26 à 65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sz w:val="20"/>
                <w:szCs w:val="20"/>
                <w:lang w:eastAsia="fr-FR"/>
              </w:rPr>
              <w:t>Personnes âgées (&gt;65 ans)</w:t>
            </w:r>
          </w:p>
          <w:p w:rsidR="0046751A" w:rsidRPr="00EA7DFE"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EA7DFE">
              <w:rPr>
                <w:rFonts w:ascii="Arial" w:hAnsi="Arial" w:cs="Arial"/>
                <w:sz w:val="20"/>
                <w:szCs w:val="20"/>
              </w:rPr>
              <w:t xml:space="preserve"> </w:t>
            </w:r>
            <w:r w:rsidR="0046751A" w:rsidRPr="00EA7DFE">
              <w:rPr>
                <w:rFonts w:ascii="Arial" w:eastAsia="Times New Roman" w:hAnsi="Arial" w:cs="Arial"/>
                <w:b/>
                <w:sz w:val="20"/>
                <w:szCs w:val="20"/>
                <w:lang w:eastAsia="fr-FR"/>
              </w:rPr>
              <w:t>Professionnels*</w:t>
            </w:r>
          </w:p>
          <w:p w:rsidR="0046751A" w:rsidRPr="00EA7DFE" w:rsidRDefault="00D9224D" w:rsidP="00F47D59">
            <w:pPr>
              <w:tabs>
                <w:tab w:val="left" w:pos="3123"/>
              </w:tabs>
              <w:rPr>
                <w:rFonts w:ascii="Arial" w:eastAsia="Times New Roman" w:hAnsi="Arial" w:cs="Arial"/>
                <w:sz w:val="20"/>
                <w:szCs w:val="20"/>
                <w:lang w:eastAsia="fr-FR"/>
              </w:rPr>
            </w:pPr>
            <w:r w:rsidRPr="00EA7DFE">
              <w:rPr>
                <w:rFonts w:ascii="Arial" w:hAnsi="Arial" w:cs="Arial"/>
                <w:sz w:val="20"/>
                <w:szCs w:val="20"/>
              </w:rPr>
              <w:fldChar w:fldCharType="begin">
                <w:ffData>
                  <w:name w:val="CaseACocher61"/>
                  <w:enabled/>
                  <w:calcOnExit w:val="0"/>
                  <w:checkBox>
                    <w:sizeAuto/>
                    <w:default w:val="0"/>
                  </w:checkBox>
                </w:ffData>
              </w:fldChar>
            </w:r>
            <w:r w:rsidRPr="00EA7DFE">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EA7DFE">
              <w:rPr>
                <w:rFonts w:ascii="Arial" w:hAnsi="Arial" w:cs="Arial"/>
                <w:sz w:val="20"/>
                <w:szCs w:val="20"/>
              </w:rPr>
              <w:fldChar w:fldCharType="end"/>
            </w:r>
            <w:r w:rsidR="0046751A" w:rsidRPr="00EA7DFE">
              <w:rPr>
                <w:rFonts w:ascii="Arial" w:eastAsia="Times New Roman" w:hAnsi="Arial" w:cs="Arial"/>
                <w:sz w:val="20"/>
                <w:szCs w:val="20"/>
                <w:lang w:eastAsia="fr-FR"/>
              </w:rPr>
              <w:t xml:space="preserve">Autre (Précisez) : </w:t>
            </w:r>
            <w:r w:rsidR="00EA7DFE">
              <w:rPr>
                <w:rFonts w:ascii="Arial" w:eastAsia="Times New Roman" w:hAnsi="Arial" w:cs="Arial"/>
                <w:sz w:val="20"/>
                <w:szCs w:val="20"/>
                <w:lang w:eastAsia="fr-FR"/>
              </w:rPr>
              <w:t>Adultes (&gt;18 ans)</w:t>
            </w:r>
          </w:p>
        </w:tc>
        <w:tc>
          <w:tcPr>
            <w:tcW w:w="3487" w:type="dxa"/>
            <w:shd w:val="clear" w:color="auto" w:fill="auto"/>
            <w:vAlign w:val="center"/>
          </w:tcPr>
          <w:p w:rsidR="0046751A" w:rsidRDefault="00AC64C8" w:rsidP="00BA59FE">
            <w:pPr>
              <w:tabs>
                <w:tab w:val="left" w:pos="3123"/>
              </w:tabs>
              <w:rPr>
                <w:rFonts w:ascii="Arial" w:eastAsia="Times New Roman" w:hAnsi="Arial" w:cs="Arial"/>
                <w:sz w:val="20"/>
                <w:szCs w:val="20"/>
                <w:lang w:eastAsia="fr-FR"/>
              </w:rPr>
            </w:pPr>
            <w:r w:rsidRPr="00354DE9">
              <w:rPr>
                <w:rFonts w:ascii="Arial" w:eastAsia="Times New Roman" w:hAnsi="Arial" w:cs="Arial"/>
                <w:b/>
                <w:i/>
                <w:sz w:val="20"/>
                <w:szCs w:val="20"/>
                <w:lang w:eastAsia="fr-FR"/>
              </w:rPr>
              <w:t>*</w:t>
            </w:r>
            <w:r w:rsidRPr="00354DE9">
              <w:rPr>
                <w:rFonts w:ascii="Arial" w:hAnsi="Arial" w:cs="Arial"/>
                <w:sz w:val="20"/>
                <w:szCs w:val="20"/>
              </w:rPr>
              <w:t xml:space="preserve"> </w:t>
            </w:r>
            <w:r w:rsidR="0046751A" w:rsidRPr="00354DE9">
              <w:rPr>
                <w:rFonts w:ascii="Arial" w:eastAsia="Times New Roman" w:hAnsi="Arial" w:cs="Arial"/>
                <w:b/>
                <w:i/>
                <w:sz w:val="20"/>
                <w:szCs w:val="20"/>
                <w:lang w:eastAsia="fr-FR"/>
              </w:rPr>
              <w:t xml:space="preserve">Préciser si professionnels </w:t>
            </w:r>
            <w:r w:rsidR="0046751A" w:rsidRPr="00354DE9">
              <w:rPr>
                <w:rFonts w:ascii="Arial" w:eastAsia="Times New Roman" w:hAnsi="Arial" w:cs="Arial"/>
                <w:sz w:val="20"/>
                <w:szCs w:val="20"/>
                <w:lang w:eastAsia="fr-FR"/>
              </w:rPr>
              <w:t>:</w:t>
            </w:r>
          </w:p>
          <w:p w:rsidR="0046751A" w:rsidRPr="00354DE9" w:rsidRDefault="00B7508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Médical</w:t>
            </w:r>
          </w:p>
          <w:p w:rsidR="0046751A" w:rsidRDefault="00B7508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Paramédical</w:t>
            </w:r>
          </w:p>
          <w:p w:rsidR="008D747C" w:rsidRPr="00354DE9" w:rsidRDefault="00B7508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sidR="008D747C">
              <w:rPr>
                <w:rFonts w:ascii="Arial" w:hAnsi="Arial" w:cs="Arial"/>
                <w:sz w:val="20"/>
                <w:szCs w:val="20"/>
              </w:rPr>
              <w:t xml:space="preserve"> Médico-social</w:t>
            </w:r>
          </w:p>
          <w:p w:rsidR="0046751A"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Social</w:t>
            </w:r>
          </w:p>
          <w:p w:rsidR="0046751A" w:rsidRDefault="00B30CB5"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prévention et de la promotion de la santé</w:t>
            </w:r>
            <w:r w:rsidR="0046751A" w:rsidRPr="00354DE9">
              <w:rPr>
                <w:rFonts w:ascii="Arial" w:hAnsi="Arial" w:cs="Arial"/>
                <w:sz w:val="20"/>
                <w:szCs w:val="20"/>
              </w:rPr>
              <w:t xml:space="preserve"> </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l’éducation/la formation</w:t>
            </w:r>
          </w:p>
          <w:p w:rsidR="0046751A" w:rsidRPr="00354DE9" w:rsidRDefault="00B30CB5" w:rsidP="00BA59FE">
            <w:pPr>
              <w:tabs>
                <w:tab w:val="left" w:pos="3123"/>
              </w:tabs>
              <w:rPr>
                <w:rFonts w:ascii="Arial" w:eastAsia="Times New Roman" w:hAnsi="Arial" w:cs="Arial"/>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46751A" w:rsidRPr="00354DE9">
              <w:rPr>
                <w:rFonts w:ascii="Arial" w:hAnsi="Arial" w:cs="Arial"/>
                <w:sz w:val="20"/>
                <w:szCs w:val="20"/>
              </w:rPr>
              <w:t xml:space="preserve"> </w:t>
            </w:r>
            <w:r w:rsidR="0046751A" w:rsidRPr="00354DE9">
              <w:rPr>
                <w:rFonts w:ascii="Arial" w:eastAsia="Times New Roman" w:hAnsi="Arial" w:cs="Arial"/>
                <w:sz w:val="20"/>
                <w:szCs w:val="20"/>
                <w:lang w:eastAsia="fr-FR"/>
              </w:rPr>
              <w:t>De la culture/Loisirs</w:t>
            </w:r>
          </w:p>
          <w:p w:rsidR="0046751A" w:rsidRPr="00354DE9" w:rsidRDefault="0046751A" w:rsidP="00BA59FE">
            <w:pPr>
              <w:tabs>
                <w:tab w:val="left" w:pos="3123"/>
              </w:tabs>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Pr="00354DE9">
              <w:rPr>
                <w:rFonts w:ascii="Arial" w:hAnsi="Arial" w:cs="Arial"/>
                <w:sz w:val="20"/>
                <w:szCs w:val="20"/>
              </w:rPr>
              <w:t xml:space="preserve"> </w:t>
            </w:r>
            <w:r w:rsidRPr="00354DE9">
              <w:rPr>
                <w:rFonts w:ascii="Arial" w:eastAsia="Times New Roman" w:hAnsi="Arial" w:cs="Arial"/>
                <w:sz w:val="20"/>
                <w:szCs w:val="20"/>
                <w:lang w:eastAsia="fr-FR"/>
              </w:rPr>
              <w:t>Autre (Précisez) :</w:t>
            </w:r>
            <w:r>
              <w:rPr>
                <w:rFonts w:ascii="Arial" w:eastAsia="Times New Roman" w:hAnsi="Arial" w:cs="Arial"/>
                <w:sz w:val="20"/>
                <w:szCs w:val="20"/>
                <w:lang w:eastAsia="fr-FR"/>
              </w:rPr>
              <w:t xml:space="preserve"> </w:t>
            </w:r>
          </w:p>
        </w:tc>
      </w:tr>
      <w:tr w:rsidR="00354DE9" w:rsidRPr="00354DE9" w:rsidTr="00C55AAD">
        <w:trPr>
          <w:trHeight w:val="346"/>
          <w:jc w:val="center"/>
        </w:trPr>
        <w:tc>
          <w:tcPr>
            <w:tcW w:w="2547" w:type="dxa"/>
            <w:shd w:val="clear" w:color="auto" w:fill="FFFFFF" w:themeFill="background1"/>
            <w:vAlign w:val="center"/>
          </w:tcPr>
          <w:p w:rsidR="008E2932" w:rsidRPr="00354DE9" w:rsidRDefault="008E2932" w:rsidP="00354DE9">
            <w:pPr>
              <w:rPr>
                <w:rFonts w:ascii="Arial" w:hAnsi="Arial" w:cs="Arial"/>
                <w:b/>
                <w:sz w:val="20"/>
                <w:szCs w:val="20"/>
              </w:rPr>
            </w:pPr>
            <w:r w:rsidRPr="00354DE9">
              <w:rPr>
                <w:rFonts w:ascii="Arial" w:hAnsi="Arial" w:cs="Arial"/>
                <w:b/>
                <w:sz w:val="20"/>
                <w:szCs w:val="20"/>
              </w:rPr>
              <w:t xml:space="preserve">Territoire </w:t>
            </w:r>
            <w:r w:rsidR="00354DE9" w:rsidRPr="00354DE9">
              <w:rPr>
                <w:rFonts w:ascii="Arial" w:hAnsi="Arial" w:cs="Arial"/>
                <w:b/>
                <w:sz w:val="20"/>
                <w:szCs w:val="20"/>
              </w:rPr>
              <w:t>d’intervention</w:t>
            </w:r>
          </w:p>
        </w:tc>
        <w:tc>
          <w:tcPr>
            <w:tcW w:w="6973" w:type="dxa"/>
            <w:gridSpan w:val="4"/>
            <w:vAlign w:val="center"/>
          </w:tcPr>
          <w:p w:rsidR="008E2932" w:rsidRPr="00354DE9" w:rsidRDefault="00A44738" w:rsidP="00F16670">
            <w:pPr>
              <w:rPr>
                <w:rFonts w:ascii="Arial" w:hAnsi="Arial" w:cs="Arial"/>
                <w:sz w:val="20"/>
                <w:szCs w:val="20"/>
              </w:rPr>
            </w:pPr>
            <w:r>
              <w:rPr>
                <w:rFonts w:ascii="Arial" w:hAnsi="Arial" w:cs="Arial"/>
                <w:sz w:val="20"/>
                <w:szCs w:val="20"/>
              </w:rPr>
              <w:t xml:space="preserve">Pays </w:t>
            </w:r>
            <w:r w:rsidR="0027785F">
              <w:rPr>
                <w:rFonts w:ascii="Arial" w:hAnsi="Arial" w:cs="Arial"/>
                <w:sz w:val="20"/>
                <w:szCs w:val="20"/>
              </w:rPr>
              <w:t>d</w:t>
            </w:r>
            <w:r>
              <w:rPr>
                <w:rFonts w:ascii="Arial" w:hAnsi="Arial" w:cs="Arial"/>
                <w:sz w:val="20"/>
                <w:szCs w:val="20"/>
              </w:rPr>
              <w:t>e Saverne Plaine et Plateau</w:t>
            </w:r>
          </w:p>
        </w:tc>
      </w:tr>
      <w:tr w:rsidR="00F71D52" w:rsidRPr="00354DE9" w:rsidTr="00996C61">
        <w:trPr>
          <w:trHeight w:val="350"/>
          <w:jc w:val="center"/>
        </w:trPr>
        <w:tc>
          <w:tcPr>
            <w:tcW w:w="2547" w:type="dxa"/>
            <w:vMerge w:val="restart"/>
            <w:shd w:val="clear" w:color="auto" w:fill="auto"/>
            <w:vAlign w:val="center"/>
          </w:tcPr>
          <w:p w:rsidR="00F71D52" w:rsidRPr="00354DE9" w:rsidRDefault="00F71D52" w:rsidP="0057104E">
            <w:pPr>
              <w:rPr>
                <w:rFonts w:ascii="Arial" w:hAnsi="Arial" w:cs="Arial"/>
                <w:b/>
                <w:sz w:val="20"/>
                <w:szCs w:val="20"/>
              </w:rPr>
            </w:pPr>
            <w:r w:rsidRPr="00354DE9">
              <w:rPr>
                <w:rFonts w:ascii="Arial" w:hAnsi="Arial" w:cs="Arial"/>
                <w:b/>
                <w:sz w:val="20"/>
                <w:szCs w:val="20"/>
              </w:rPr>
              <w:t xml:space="preserve">Financement </w:t>
            </w:r>
          </w:p>
        </w:tc>
        <w:tc>
          <w:tcPr>
            <w:tcW w:w="1789" w:type="dxa"/>
            <w:gridSpan w:val="2"/>
            <w:shd w:val="clear" w:color="auto" w:fill="auto"/>
            <w:vAlign w:val="center"/>
          </w:tcPr>
          <w:p w:rsidR="00F71D52" w:rsidRPr="002A03EA" w:rsidRDefault="00F71D52" w:rsidP="00F16670">
            <w:pPr>
              <w:rPr>
                <w:rFonts w:ascii="Arial" w:hAnsi="Arial" w:cs="Arial"/>
                <w:i/>
                <w:sz w:val="18"/>
                <w:szCs w:val="18"/>
              </w:rPr>
            </w:pPr>
            <w:r w:rsidRPr="002A03EA">
              <w:rPr>
                <w:rFonts w:ascii="Arial" w:hAnsi="Arial" w:cs="Arial"/>
                <w:i/>
                <w:sz w:val="18"/>
                <w:szCs w:val="18"/>
              </w:rPr>
              <w:t>Budget global prévisionnel</w:t>
            </w:r>
          </w:p>
        </w:tc>
        <w:tc>
          <w:tcPr>
            <w:tcW w:w="5184" w:type="dxa"/>
            <w:gridSpan w:val="2"/>
            <w:shd w:val="clear" w:color="auto" w:fill="auto"/>
            <w:vAlign w:val="center"/>
          </w:tcPr>
          <w:p w:rsidR="007452AB" w:rsidRPr="00354DE9" w:rsidRDefault="004337A3" w:rsidP="00F16670">
            <w:pPr>
              <w:rPr>
                <w:rFonts w:ascii="Arial" w:hAnsi="Arial" w:cs="Arial"/>
                <w:sz w:val="20"/>
                <w:szCs w:val="20"/>
              </w:rPr>
            </w:pPr>
            <w:r>
              <w:rPr>
                <w:rFonts w:ascii="Arial" w:hAnsi="Arial" w:cs="Arial"/>
                <w:sz w:val="20"/>
                <w:szCs w:val="20"/>
              </w:rPr>
              <w:t>A déterminer lorsque le programme</w:t>
            </w:r>
            <w:r w:rsidR="003C7B4A">
              <w:rPr>
                <w:rFonts w:ascii="Arial" w:hAnsi="Arial" w:cs="Arial"/>
                <w:sz w:val="20"/>
                <w:szCs w:val="20"/>
              </w:rPr>
              <w:t xml:space="preserve"> </w:t>
            </w:r>
            <w:r>
              <w:rPr>
                <w:rFonts w:ascii="Arial" w:hAnsi="Arial" w:cs="Arial"/>
                <w:sz w:val="20"/>
                <w:szCs w:val="20"/>
              </w:rPr>
              <w:t>d‘action sera défini</w:t>
            </w:r>
          </w:p>
        </w:tc>
      </w:tr>
      <w:tr w:rsidR="00F71D52" w:rsidRPr="00354DE9" w:rsidTr="00996C61">
        <w:trPr>
          <w:trHeight w:val="199"/>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i/>
                <w:sz w:val="18"/>
                <w:szCs w:val="18"/>
              </w:rPr>
            </w:pPr>
            <w:r w:rsidRPr="00F71D52">
              <w:rPr>
                <w:rFonts w:ascii="Arial" w:hAnsi="Arial" w:cs="Arial"/>
                <w:i/>
                <w:sz w:val="18"/>
                <w:szCs w:val="18"/>
              </w:rPr>
              <w:t>Financeurs et montants</w:t>
            </w:r>
          </w:p>
        </w:tc>
        <w:tc>
          <w:tcPr>
            <w:tcW w:w="5184" w:type="dxa"/>
            <w:gridSpan w:val="2"/>
            <w:shd w:val="clear" w:color="auto" w:fill="auto"/>
            <w:vAlign w:val="center"/>
          </w:tcPr>
          <w:p w:rsidR="00F71D52" w:rsidRPr="00354DE9" w:rsidRDefault="004337A3" w:rsidP="00F16670">
            <w:pPr>
              <w:rPr>
                <w:rFonts w:ascii="Arial" w:hAnsi="Arial" w:cs="Arial"/>
                <w:sz w:val="20"/>
                <w:szCs w:val="20"/>
              </w:rPr>
            </w:pPr>
            <w:proofErr w:type="spellStart"/>
            <w:r>
              <w:rPr>
                <w:rFonts w:ascii="Arial" w:hAnsi="Arial" w:cs="Arial"/>
                <w:sz w:val="20"/>
                <w:szCs w:val="20"/>
              </w:rPr>
              <w:t>Partenraires</w:t>
            </w:r>
            <w:proofErr w:type="spellEnd"/>
            <w:r>
              <w:rPr>
                <w:rFonts w:ascii="Arial" w:hAnsi="Arial" w:cs="Arial"/>
                <w:sz w:val="20"/>
                <w:szCs w:val="20"/>
              </w:rPr>
              <w:t xml:space="preserve"> de l’action</w:t>
            </w:r>
          </w:p>
        </w:tc>
      </w:tr>
      <w:tr w:rsidR="00F71D52" w:rsidRPr="00354DE9" w:rsidTr="00996C61">
        <w:trPr>
          <w:trHeight w:val="500"/>
          <w:jc w:val="center"/>
        </w:trPr>
        <w:tc>
          <w:tcPr>
            <w:tcW w:w="2547" w:type="dxa"/>
            <w:vMerge/>
            <w:shd w:val="clear" w:color="auto" w:fill="auto"/>
            <w:vAlign w:val="center"/>
          </w:tcPr>
          <w:p w:rsidR="00F71D52" w:rsidRPr="00354DE9" w:rsidRDefault="00F71D52" w:rsidP="0057104E">
            <w:pPr>
              <w:rPr>
                <w:rFonts w:ascii="Arial" w:hAnsi="Arial" w:cs="Arial"/>
                <w:b/>
                <w:sz w:val="20"/>
                <w:szCs w:val="20"/>
              </w:rPr>
            </w:pPr>
          </w:p>
        </w:tc>
        <w:tc>
          <w:tcPr>
            <w:tcW w:w="1789" w:type="dxa"/>
            <w:gridSpan w:val="2"/>
            <w:shd w:val="clear" w:color="auto" w:fill="auto"/>
            <w:vAlign w:val="center"/>
          </w:tcPr>
          <w:p w:rsidR="00F71D52" w:rsidRPr="00F71D52" w:rsidRDefault="00F71D52" w:rsidP="00BA59FE">
            <w:pPr>
              <w:rPr>
                <w:rFonts w:ascii="Arial" w:hAnsi="Arial" w:cs="Arial"/>
                <w:sz w:val="18"/>
                <w:szCs w:val="18"/>
              </w:rPr>
            </w:pPr>
            <w:r w:rsidRPr="00F71D52">
              <w:rPr>
                <w:rFonts w:ascii="Arial" w:hAnsi="Arial" w:cs="Arial"/>
                <w:sz w:val="18"/>
                <w:szCs w:val="18"/>
              </w:rPr>
              <w:t xml:space="preserve">Autres ressources mobilisables </w:t>
            </w:r>
            <w:r w:rsidRPr="00F71D52">
              <w:rPr>
                <w:rFonts w:ascii="Arial" w:hAnsi="Arial" w:cs="Arial"/>
                <w:i/>
                <w:sz w:val="18"/>
                <w:szCs w:val="18"/>
              </w:rPr>
              <w:t>(Matériel, humaine)</w:t>
            </w:r>
          </w:p>
        </w:tc>
        <w:tc>
          <w:tcPr>
            <w:tcW w:w="5184" w:type="dxa"/>
            <w:gridSpan w:val="2"/>
            <w:shd w:val="clear" w:color="auto" w:fill="auto"/>
            <w:vAlign w:val="center"/>
          </w:tcPr>
          <w:p w:rsidR="00F71D52" w:rsidRPr="00354DE9" w:rsidRDefault="00F71D52" w:rsidP="00F16670">
            <w:pPr>
              <w:rPr>
                <w:rFonts w:ascii="Arial" w:hAnsi="Arial" w:cs="Arial"/>
                <w:sz w:val="20"/>
                <w:szCs w:val="20"/>
              </w:rPr>
            </w:pPr>
          </w:p>
        </w:tc>
      </w:tr>
      <w:tr w:rsidR="00143098" w:rsidRPr="00354DE9" w:rsidTr="00EE1636">
        <w:trPr>
          <w:trHeight w:val="554"/>
          <w:jc w:val="center"/>
        </w:trPr>
        <w:tc>
          <w:tcPr>
            <w:tcW w:w="2547" w:type="dxa"/>
            <w:vMerge w:val="restart"/>
            <w:shd w:val="clear" w:color="auto" w:fill="FFFFFF" w:themeFill="background1"/>
            <w:vAlign w:val="center"/>
          </w:tcPr>
          <w:p w:rsidR="00143098" w:rsidRPr="00354DE9" w:rsidRDefault="00143098" w:rsidP="002E571E">
            <w:pPr>
              <w:rPr>
                <w:rFonts w:ascii="Arial" w:hAnsi="Arial" w:cs="Arial"/>
                <w:b/>
                <w:sz w:val="20"/>
                <w:szCs w:val="20"/>
              </w:rPr>
            </w:pPr>
            <w:r w:rsidRPr="00354DE9">
              <w:rPr>
                <w:rFonts w:ascii="Arial" w:hAnsi="Arial" w:cs="Arial"/>
                <w:b/>
                <w:sz w:val="20"/>
                <w:szCs w:val="20"/>
              </w:rPr>
              <w:t>Déterminants de santé visés</w:t>
            </w: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Système de soins</w:t>
            </w:r>
          </w:p>
          <w:p w:rsidR="00143098" w:rsidRPr="00354DE9" w:rsidRDefault="004337A3"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Accessibilité (géographique, financière, socio-culturelle,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Globalité (synergie des composantes, prise en compte des conditions sociales)</w:t>
            </w:r>
          </w:p>
          <w:p w:rsidR="00143098" w:rsidRPr="00354DE9" w:rsidRDefault="004337A3" w:rsidP="00F16670">
            <w:pPr>
              <w:rPr>
                <w:rFonts w:ascii="Arial" w:eastAsia="Times New Roman" w:hAnsi="Arial" w:cs="Arial"/>
                <w:iCs/>
                <w:sz w:val="20"/>
                <w:szCs w:val="20"/>
                <w:lang w:eastAsia="fr-FR"/>
              </w:rPr>
            </w:pPr>
            <w:r>
              <w:rPr>
                <w:rFonts w:ascii="Arial" w:hAnsi="Arial" w:cs="Arial"/>
                <w:sz w:val="20"/>
                <w:szCs w:val="20"/>
              </w:rPr>
              <w:fldChar w:fldCharType="begin">
                <w:ffData>
                  <w:name w:val="CaseACocher61"/>
                  <w:enabled/>
                  <w:calcOnExit w:val="0"/>
                  <w:checkBox>
                    <w:sizeAuto/>
                    <w:default w:val="1"/>
                  </w:checkBox>
                </w:ffData>
              </w:fldChar>
            </w:r>
            <w:bookmarkStart w:id="3" w:name="CaseACocher61"/>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bookmarkEnd w:id="3"/>
            <w:r w:rsidR="00143098" w:rsidRPr="00354DE9">
              <w:rPr>
                <w:rFonts w:ascii="Arial" w:eastAsia="Times New Roman" w:hAnsi="Arial" w:cs="Arial"/>
                <w:iCs/>
                <w:sz w:val="20"/>
                <w:szCs w:val="20"/>
                <w:lang w:eastAsia="fr-FR"/>
              </w:rPr>
              <w:t xml:space="preserve"> Continuité (informationnelle, relationnelle, clinique)</w:t>
            </w:r>
          </w:p>
          <w:p w:rsidR="00143098" w:rsidRPr="00354DE9" w:rsidRDefault="00BD43A8" w:rsidP="00F16670">
            <w:pPr>
              <w:rPr>
                <w:rFonts w:ascii="Arial" w:eastAsia="Times New Roman" w:hAnsi="Arial" w:cs="Arial"/>
                <w:iCs/>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7F5EE5">
              <w:rPr>
                <w:rFonts w:ascii="Arial" w:eastAsia="Times New Roman" w:hAnsi="Arial" w:cs="Arial"/>
                <w:iCs/>
                <w:sz w:val="20"/>
                <w:szCs w:val="20"/>
                <w:lang w:eastAsia="fr-FR"/>
              </w:rPr>
              <w:t xml:space="preserve"> R</w:t>
            </w:r>
            <w:r w:rsidR="00143098" w:rsidRPr="00354DE9">
              <w:rPr>
                <w:rFonts w:ascii="Arial" w:eastAsia="Times New Roman" w:hAnsi="Arial" w:cs="Arial"/>
                <w:iCs/>
                <w:sz w:val="20"/>
                <w:szCs w:val="20"/>
                <w:lang w:eastAsia="fr-FR"/>
              </w:rPr>
              <w:t>éactivité (respect des attentes des patients, satisfaction des patients)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Efficacité et sécurité</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EA7DFE" w:rsidRDefault="00143098" w:rsidP="00F16670">
            <w:pPr>
              <w:rPr>
                <w:rFonts w:ascii="Arial" w:hAnsi="Arial" w:cs="Arial"/>
                <w:b/>
                <w:noProof/>
                <w:sz w:val="20"/>
                <w:szCs w:val="20"/>
                <w:lang w:eastAsia="fr-FR"/>
              </w:rPr>
            </w:pPr>
            <w:r w:rsidRPr="00EA7DFE">
              <w:rPr>
                <w:rFonts w:ascii="Arial" w:hAnsi="Arial" w:cs="Arial"/>
                <w:b/>
                <w:noProof/>
                <w:sz w:val="20"/>
                <w:szCs w:val="20"/>
                <w:lang w:eastAsia="fr-FR"/>
              </w:rPr>
              <w:t xml:space="preserve">Mode de vie </w:t>
            </w:r>
          </w:p>
          <w:p w:rsidR="00143098" w:rsidRPr="00EA7DFE" w:rsidRDefault="00B30CB5" w:rsidP="00F16670">
            <w:pPr>
              <w:rPr>
                <w:rFonts w:ascii="Arial" w:hAnsi="Arial" w:cs="Arial"/>
                <w:i/>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D9224D">
              <w:rPr>
                <w:rFonts w:ascii="Arial" w:hAnsi="Arial" w:cs="Arial"/>
                <w:sz w:val="20"/>
                <w:szCs w:val="20"/>
              </w:rPr>
              <w:t xml:space="preserve"> </w:t>
            </w:r>
            <w:r w:rsidR="00143098" w:rsidRPr="00EA7DFE">
              <w:rPr>
                <w:rFonts w:ascii="Arial" w:eastAsia="Times New Roman" w:hAnsi="Arial" w:cs="Arial"/>
                <w:iCs/>
                <w:sz w:val="20"/>
                <w:szCs w:val="20"/>
                <w:lang w:eastAsia="fr-FR"/>
              </w:rPr>
              <w:t xml:space="preserve">Acquisition de comportements favorables à la santé </w:t>
            </w:r>
            <w:r w:rsidR="00143098" w:rsidRPr="00EA7DFE">
              <w:rPr>
                <w:rFonts w:ascii="Arial" w:eastAsia="Times New Roman" w:hAnsi="Arial" w:cs="Arial"/>
                <w:i/>
                <w:iCs/>
                <w:sz w:val="20"/>
                <w:szCs w:val="20"/>
                <w:lang w:eastAsia="fr-FR"/>
              </w:rPr>
              <w:t>(consommation d’alcool, de tabac, alimentation, activité physique, …)</w:t>
            </w:r>
          </w:p>
          <w:p w:rsidR="00143098" w:rsidRPr="00EA7DFE" w:rsidRDefault="00D9224D"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Pr>
                <w:rFonts w:ascii="Arial" w:hAnsi="Arial" w:cs="Arial"/>
                <w:sz w:val="20"/>
                <w:szCs w:val="20"/>
              </w:rPr>
              <w:t xml:space="preserve"> </w:t>
            </w:r>
            <w:r w:rsidR="00143098" w:rsidRPr="00EA7DFE">
              <w:rPr>
                <w:rFonts w:ascii="Arial" w:eastAsia="Times New Roman" w:hAnsi="Arial" w:cs="Arial"/>
                <w:iCs/>
                <w:sz w:val="20"/>
                <w:szCs w:val="20"/>
                <w:lang w:eastAsia="fr-FR"/>
              </w:rPr>
              <w:t>Utilisation des services de santé (recours aux soins et à la prévention)</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Conditions de vie</w:t>
            </w:r>
          </w:p>
          <w:p w:rsidR="00143098" w:rsidRPr="00354DE9" w:rsidRDefault="00B30CB5"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Accès aux ressources hors services de santé </w:t>
            </w:r>
            <w:r w:rsidR="00143098" w:rsidRPr="00354DE9">
              <w:rPr>
                <w:rFonts w:ascii="Arial" w:eastAsia="Times New Roman" w:hAnsi="Arial" w:cs="Arial"/>
                <w:i/>
                <w:iCs/>
                <w:sz w:val="20"/>
                <w:szCs w:val="20"/>
                <w:lang w:eastAsia="fr-FR"/>
              </w:rPr>
              <w:t>(logement, loisir, services sociaux et éducatifs, alimentation …)</w:t>
            </w:r>
          </w:p>
          <w:p w:rsidR="00143098" w:rsidRPr="00354DE9" w:rsidRDefault="00143098" w:rsidP="00F16670">
            <w:pPr>
              <w:rPr>
                <w:rFonts w:ascii="Arial" w:eastAsia="Times New Roman" w:hAnsi="Arial" w:cs="Arial"/>
                <w:i/>
                <w:iCs/>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Environnement physique (</w:t>
            </w:r>
            <w:r w:rsidRPr="00354DE9">
              <w:rPr>
                <w:rFonts w:ascii="Arial" w:eastAsia="Times New Roman" w:hAnsi="Arial" w:cs="Arial"/>
                <w:i/>
                <w:iCs/>
                <w:sz w:val="20"/>
                <w:szCs w:val="20"/>
                <w:lang w:eastAsia="fr-FR"/>
              </w:rPr>
              <w:t>air, sol, eau, aménagement du territoire …)</w:t>
            </w:r>
          </w:p>
          <w:p w:rsidR="00143098" w:rsidRPr="00354DE9" w:rsidRDefault="00143098" w:rsidP="00F16670">
            <w:pPr>
              <w:rPr>
                <w:rFonts w:ascii="Arial" w:hAnsi="Arial" w:cs="Arial"/>
                <w:sz w:val="20"/>
                <w:szCs w:val="20"/>
              </w:rPr>
            </w:pPr>
            <w:r w:rsidRPr="00354DE9">
              <w:rPr>
                <w:rFonts w:ascii="Arial" w:hAnsi="Arial" w:cs="Arial"/>
                <w:sz w:val="20"/>
                <w:szCs w:val="20"/>
              </w:rPr>
              <w:lastRenderedPageBreak/>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Condition</w:t>
            </w:r>
            <w:r w:rsidR="00683C9E">
              <w:rPr>
                <w:rFonts w:ascii="Arial" w:eastAsia="Times New Roman" w:hAnsi="Arial" w:cs="Arial"/>
                <w:iCs/>
                <w:sz w:val="20"/>
                <w:szCs w:val="20"/>
                <w:lang w:eastAsia="fr-FR"/>
              </w:rPr>
              <w:t>s</w:t>
            </w:r>
            <w:r w:rsidRPr="00354DE9">
              <w:rPr>
                <w:rFonts w:ascii="Arial" w:eastAsia="Times New Roman" w:hAnsi="Arial" w:cs="Arial"/>
                <w:iCs/>
                <w:sz w:val="20"/>
                <w:szCs w:val="20"/>
                <w:lang w:eastAsia="fr-FR"/>
              </w:rPr>
              <w:t xml:space="preserve"> de travail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Environnement social </w:t>
            </w:r>
          </w:p>
          <w:p w:rsidR="00143098" w:rsidRPr="00354DE9" w:rsidRDefault="00AE0A60"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D9224D">
              <w:rPr>
                <w:rFonts w:ascii="Arial" w:eastAsia="Times New Roman" w:hAnsi="Arial" w:cs="Arial"/>
                <w:iCs/>
                <w:sz w:val="20"/>
                <w:szCs w:val="20"/>
                <w:lang w:eastAsia="fr-FR"/>
              </w:rPr>
              <w:t xml:space="preserve"> </w:t>
            </w:r>
            <w:r w:rsidR="00143098" w:rsidRPr="00EA7DFE">
              <w:rPr>
                <w:rFonts w:ascii="Arial" w:eastAsia="Times New Roman" w:hAnsi="Arial" w:cs="Arial"/>
                <w:iCs/>
                <w:sz w:val="20"/>
                <w:szCs w:val="20"/>
                <w:lang w:eastAsia="fr-FR"/>
              </w:rPr>
              <w:t>Intégration sociale</w:t>
            </w:r>
          </w:p>
          <w:p w:rsidR="00143098" w:rsidRPr="00354DE9" w:rsidRDefault="00143098" w:rsidP="00F16670">
            <w:pPr>
              <w:rPr>
                <w:rFonts w:ascii="Arial" w:hAnsi="Arial" w:cs="Arial"/>
                <w:i/>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w:t>
            </w:r>
            <w:proofErr w:type="spellStart"/>
            <w:r w:rsidRPr="00354DE9">
              <w:rPr>
                <w:rFonts w:ascii="Arial" w:eastAsia="Times New Roman" w:hAnsi="Arial" w:cs="Arial"/>
                <w:iCs/>
                <w:sz w:val="20"/>
                <w:szCs w:val="20"/>
                <w:lang w:eastAsia="fr-FR"/>
              </w:rPr>
              <w:t>Empowerment</w:t>
            </w:r>
            <w:proofErr w:type="spellEnd"/>
            <w:r w:rsidRPr="00354DE9">
              <w:rPr>
                <w:rFonts w:ascii="Arial" w:eastAsia="Times New Roman" w:hAnsi="Arial" w:cs="Arial"/>
                <w:iCs/>
                <w:sz w:val="20"/>
                <w:szCs w:val="20"/>
                <w:lang w:eastAsia="fr-FR"/>
              </w:rPr>
              <w:t xml:space="preserve"> </w:t>
            </w:r>
            <w:r w:rsidRPr="00354DE9">
              <w:rPr>
                <w:rFonts w:ascii="Arial" w:eastAsia="Times New Roman" w:hAnsi="Arial" w:cs="Arial"/>
                <w:i/>
                <w:iCs/>
                <w:sz w:val="20"/>
                <w:szCs w:val="20"/>
                <w:lang w:eastAsia="fr-FR"/>
              </w:rPr>
              <w:t>(participation des habitants)</w:t>
            </w:r>
          </w:p>
          <w:p w:rsidR="00143098" w:rsidRPr="00354DE9" w:rsidRDefault="00143098" w:rsidP="00F16670">
            <w:pPr>
              <w:rPr>
                <w:rFonts w:ascii="Arial" w:hAnsi="Arial" w:cs="Arial"/>
                <w:b/>
                <w:noProof/>
                <w:sz w:val="20"/>
                <w:szCs w:val="20"/>
                <w:lang w:eastAsia="fr-FR"/>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Normes et climat social</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rPr>
                <w:rFonts w:ascii="Arial" w:hAnsi="Arial" w:cs="Arial"/>
                <w:b/>
                <w:noProof/>
                <w:sz w:val="20"/>
                <w:szCs w:val="20"/>
                <w:lang w:eastAsia="fr-FR"/>
              </w:rPr>
            </w:pPr>
            <w:r w:rsidRPr="00354DE9">
              <w:rPr>
                <w:rFonts w:ascii="Arial" w:hAnsi="Arial" w:cs="Arial"/>
                <w:b/>
                <w:noProof/>
                <w:sz w:val="20"/>
                <w:szCs w:val="20"/>
                <w:lang w:eastAsia="fr-FR"/>
              </w:rPr>
              <w:t xml:space="preserve">Contexte économique et politique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Augmentation des richesses locales</w:t>
            </w:r>
          </w:p>
          <w:p w:rsidR="00143098" w:rsidRPr="00354DE9" w:rsidRDefault="00BD43A8" w:rsidP="00F16670">
            <w:pPr>
              <w:rPr>
                <w:rFonts w:ascii="Arial" w:hAnsi="Arial" w:cs="Arial"/>
                <w:sz w:val="20"/>
                <w:szCs w:val="20"/>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Adaptation aux besoins de la population</w:t>
            </w:r>
          </w:p>
          <w:p w:rsidR="00143098" w:rsidRPr="00354DE9" w:rsidRDefault="00B30CB5" w:rsidP="00F16670">
            <w:pPr>
              <w:rPr>
                <w:rFonts w:ascii="Arial" w:hAnsi="Arial" w:cs="Arial"/>
                <w:b/>
                <w:noProof/>
                <w:sz w:val="20"/>
                <w:szCs w:val="20"/>
                <w:lang w:eastAsia="fr-FR"/>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43098" w:rsidRPr="00354DE9">
              <w:rPr>
                <w:rFonts w:ascii="Arial" w:eastAsia="Times New Roman" w:hAnsi="Arial" w:cs="Arial"/>
                <w:iCs/>
                <w:sz w:val="20"/>
                <w:szCs w:val="20"/>
                <w:lang w:eastAsia="fr-FR"/>
              </w:rPr>
              <w:t xml:space="preserve"> La santé dans les politiques </w:t>
            </w:r>
            <w:r w:rsidR="00143098" w:rsidRPr="00354DE9">
              <w:rPr>
                <w:rFonts w:ascii="Arial" w:eastAsia="Times New Roman" w:hAnsi="Arial" w:cs="Arial"/>
                <w:i/>
                <w:iCs/>
                <w:sz w:val="20"/>
                <w:szCs w:val="20"/>
                <w:lang w:eastAsia="fr-FR"/>
              </w:rPr>
              <w:t>(prise en compte des déterminants de santé dans les politiques)</w:t>
            </w:r>
          </w:p>
        </w:tc>
      </w:tr>
      <w:tr w:rsidR="00143098" w:rsidRPr="00354DE9" w:rsidTr="00EE1636">
        <w:trPr>
          <w:trHeight w:val="554"/>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sidRPr="00354DE9">
              <w:rPr>
                <w:rFonts w:ascii="Arial" w:eastAsia="Times New Roman" w:hAnsi="Arial" w:cs="Arial"/>
                <w:b/>
                <w:bCs/>
                <w:sz w:val="20"/>
                <w:szCs w:val="20"/>
                <w:lang w:eastAsia="fr-FR"/>
              </w:rPr>
              <w:t>Conditions socio-économiques</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de revenu</w:t>
            </w:r>
            <w:r w:rsidRPr="00354DE9">
              <w:rPr>
                <w:rFonts w:ascii="Arial" w:hAnsi="Arial" w:cs="Arial"/>
                <w:sz w:val="20"/>
                <w:szCs w:val="20"/>
              </w:rPr>
              <w:t xml:space="preserve"> </w:t>
            </w:r>
          </w:p>
          <w:p w:rsidR="00143098" w:rsidRPr="00354DE9" w:rsidRDefault="00143098" w:rsidP="00F16670">
            <w:pPr>
              <w:rPr>
                <w:rFonts w:ascii="Arial" w:hAnsi="Arial" w:cs="Arial"/>
                <w:sz w:val="20"/>
                <w:szCs w:val="20"/>
              </w:rPr>
            </w:pPr>
            <w:r w:rsidRPr="00354DE9">
              <w:rPr>
                <w:rFonts w:ascii="Arial" w:hAnsi="Arial" w:cs="Arial"/>
                <w:sz w:val="20"/>
                <w:szCs w:val="20"/>
              </w:rPr>
              <w:fldChar w:fldCharType="begin">
                <w:ffData>
                  <w:name w:val="CaseACocher61"/>
                  <w:enabled/>
                  <w:calcOnExit w:val="0"/>
                  <w:checkBox>
                    <w:sizeAuto/>
                    <w:default w:val="0"/>
                  </w:checkBox>
                </w:ffData>
              </w:fldChar>
            </w:r>
            <w:r w:rsidRPr="00354DE9">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Pr="00354DE9">
              <w:rPr>
                <w:rFonts w:ascii="Arial" w:hAnsi="Arial" w:cs="Arial"/>
                <w:sz w:val="20"/>
                <w:szCs w:val="20"/>
              </w:rPr>
              <w:fldChar w:fldCharType="end"/>
            </w:r>
            <w:r w:rsidRPr="00354DE9">
              <w:rPr>
                <w:rFonts w:ascii="Arial" w:eastAsia="Times New Roman" w:hAnsi="Arial" w:cs="Arial"/>
                <w:iCs/>
                <w:sz w:val="20"/>
                <w:szCs w:val="20"/>
                <w:lang w:eastAsia="fr-FR"/>
              </w:rPr>
              <w:t xml:space="preserve"> Niveau d’éducation</w:t>
            </w:r>
          </w:p>
        </w:tc>
      </w:tr>
      <w:tr w:rsidR="00143098" w:rsidRPr="00354DE9" w:rsidTr="00C55AAD">
        <w:trPr>
          <w:trHeight w:val="423"/>
          <w:jc w:val="center"/>
        </w:trPr>
        <w:tc>
          <w:tcPr>
            <w:tcW w:w="2547" w:type="dxa"/>
            <w:vMerge/>
            <w:shd w:val="clear" w:color="auto" w:fill="FFFFFF" w:themeFill="background1"/>
            <w:vAlign w:val="center"/>
          </w:tcPr>
          <w:p w:rsidR="00143098" w:rsidRPr="00354DE9" w:rsidRDefault="00143098" w:rsidP="002E571E">
            <w:pPr>
              <w:rPr>
                <w:rFonts w:ascii="Arial" w:hAnsi="Arial" w:cs="Arial"/>
                <w:b/>
                <w:sz w:val="20"/>
                <w:szCs w:val="20"/>
              </w:rPr>
            </w:pPr>
          </w:p>
        </w:tc>
        <w:tc>
          <w:tcPr>
            <w:tcW w:w="6973" w:type="dxa"/>
            <w:gridSpan w:val="4"/>
            <w:vAlign w:val="center"/>
          </w:tcPr>
          <w:p w:rsidR="00143098" w:rsidRPr="00354DE9" w:rsidRDefault="00143098" w:rsidP="00F16670">
            <w:pPr>
              <w:spacing w:line="253" w:lineRule="atLeast"/>
              <w:rPr>
                <w:rFonts w:ascii="Arial" w:eastAsia="Times New Roman" w:hAnsi="Arial" w:cs="Arial"/>
                <w:b/>
                <w:bCs/>
                <w:sz w:val="20"/>
                <w:szCs w:val="20"/>
                <w:lang w:eastAsia="fr-FR"/>
              </w:rPr>
            </w:pPr>
            <w:r>
              <w:rPr>
                <w:rFonts w:ascii="Arial" w:eastAsia="Times New Roman" w:hAnsi="Arial" w:cs="Arial"/>
                <w:b/>
                <w:bCs/>
                <w:sz w:val="20"/>
                <w:szCs w:val="20"/>
                <w:lang w:eastAsia="fr-FR"/>
              </w:rPr>
              <w:t>Autre(s)</w:t>
            </w:r>
          </w:p>
        </w:tc>
      </w:tr>
      <w:tr w:rsidR="001361D6" w:rsidRPr="00354DE9" w:rsidTr="00EE1636">
        <w:trPr>
          <w:trHeight w:val="554"/>
          <w:jc w:val="center"/>
        </w:trPr>
        <w:tc>
          <w:tcPr>
            <w:tcW w:w="2547" w:type="dxa"/>
            <w:shd w:val="clear" w:color="auto" w:fill="FFFFFF" w:themeFill="background1"/>
            <w:vAlign w:val="center"/>
          </w:tcPr>
          <w:p w:rsidR="001361D6" w:rsidRPr="00354DE9" w:rsidRDefault="001361D6" w:rsidP="002E571E">
            <w:pPr>
              <w:rPr>
                <w:rFonts w:ascii="Arial" w:hAnsi="Arial" w:cs="Arial"/>
                <w:b/>
                <w:sz w:val="20"/>
                <w:szCs w:val="20"/>
              </w:rPr>
            </w:pPr>
            <w:r>
              <w:rPr>
                <w:rFonts w:ascii="Arial" w:hAnsi="Arial" w:cs="Arial"/>
                <w:b/>
                <w:sz w:val="20"/>
                <w:szCs w:val="20"/>
              </w:rPr>
              <w:t xml:space="preserve">Les objectifs de l’action visent-ils directement la lutte contre les inégalités sociales de santé ? </w:t>
            </w:r>
          </w:p>
        </w:tc>
        <w:tc>
          <w:tcPr>
            <w:tcW w:w="6973" w:type="dxa"/>
            <w:gridSpan w:val="4"/>
            <w:vAlign w:val="center"/>
          </w:tcPr>
          <w:p w:rsidR="001361D6" w:rsidRDefault="004337A3" w:rsidP="00BD43A8">
            <w:pPr>
              <w:spacing w:line="253" w:lineRule="atLeast"/>
              <w:rPr>
                <w:rFonts w:ascii="Arial" w:eastAsia="Times New Roman" w:hAnsi="Arial" w:cs="Arial"/>
                <w:b/>
                <w:bCs/>
                <w:sz w:val="20"/>
                <w:szCs w:val="20"/>
                <w:lang w:eastAsia="fr-FR"/>
              </w:rPr>
            </w:pPr>
            <w:r>
              <w:rPr>
                <w:rFonts w:ascii="Arial" w:hAnsi="Arial" w:cs="Arial"/>
                <w:sz w:val="20"/>
                <w:szCs w:val="20"/>
              </w:rPr>
              <w:fldChar w:fldCharType="begin">
                <w:ffData>
                  <w:name w:val=""/>
                  <w:enabled/>
                  <w:calcOnExit w:val="0"/>
                  <w:checkBox>
                    <w:sizeAuto/>
                    <w:default w:val="1"/>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sidR="001361D6">
              <w:rPr>
                <w:rFonts w:ascii="Arial" w:hAnsi="Arial" w:cs="Arial"/>
                <w:sz w:val="20"/>
                <w:szCs w:val="20"/>
              </w:rPr>
              <w:t xml:space="preserve"> Oui  </w:t>
            </w:r>
            <w:r w:rsidR="00B30CB5">
              <w:rPr>
                <w:rFonts w:ascii="Arial" w:hAnsi="Arial" w:cs="Arial"/>
                <w:sz w:val="20"/>
                <w:szCs w:val="20"/>
              </w:rPr>
              <w:fldChar w:fldCharType="begin">
                <w:ffData>
                  <w:name w:val=""/>
                  <w:enabled/>
                  <w:calcOnExit w:val="0"/>
                  <w:checkBox>
                    <w:sizeAuto/>
                    <w:default w:val="0"/>
                  </w:checkBox>
                </w:ffData>
              </w:fldChar>
            </w:r>
            <w:r w:rsidR="00B30CB5">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B30CB5">
              <w:rPr>
                <w:rFonts w:ascii="Arial" w:hAnsi="Arial" w:cs="Arial"/>
                <w:sz w:val="20"/>
                <w:szCs w:val="20"/>
              </w:rPr>
              <w:fldChar w:fldCharType="end"/>
            </w:r>
            <w:r w:rsidR="001361D6" w:rsidRPr="00EA7DFE">
              <w:rPr>
                <w:rFonts w:ascii="Arial" w:hAnsi="Arial" w:cs="Arial"/>
                <w:sz w:val="20"/>
                <w:szCs w:val="20"/>
              </w:rPr>
              <w:t xml:space="preserve"> Non</w:t>
            </w:r>
            <w:r w:rsidR="001361D6">
              <w:rPr>
                <w:rFonts w:ascii="Arial" w:hAnsi="Arial" w:cs="Arial"/>
                <w:sz w:val="20"/>
                <w:szCs w:val="20"/>
              </w:rPr>
              <w:t xml:space="preserve"> </w:t>
            </w:r>
          </w:p>
        </w:tc>
      </w:tr>
      <w:tr w:rsidR="00F71D52" w:rsidRPr="00354DE9" w:rsidTr="00EE1636">
        <w:trPr>
          <w:trHeight w:val="554"/>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Politiques Publiques concernées</w:t>
            </w:r>
          </w:p>
        </w:tc>
        <w:tc>
          <w:tcPr>
            <w:tcW w:w="6973" w:type="dxa"/>
            <w:gridSpan w:val="4"/>
            <w:vAlign w:val="center"/>
          </w:tcPr>
          <w:p w:rsidR="00DB1DCC" w:rsidRPr="005B45F0" w:rsidRDefault="00DB1DCC" w:rsidP="00DB1DCC">
            <w:pPr>
              <w:spacing w:line="253" w:lineRule="atLeast"/>
              <w:rPr>
                <w:rFonts w:ascii="Arial" w:eastAsia="Times New Roman" w:hAnsi="Arial" w:cs="Arial"/>
                <w:bCs/>
                <w:sz w:val="20"/>
                <w:szCs w:val="20"/>
                <w:lang w:eastAsia="fr-FR"/>
              </w:rPr>
            </w:pPr>
          </w:p>
        </w:tc>
      </w:tr>
      <w:tr w:rsidR="00562D16" w:rsidRPr="00354DE9" w:rsidTr="00EE1636">
        <w:trPr>
          <w:trHeight w:val="554"/>
          <w:jc w:val="center"/>
        </w:trPr>
        <w:tc>
          <w:tcPr>
            <w:tcW w:w="2547" w:type="dxa"/>
            <w:shd w:val="clear" w:color="auto" w:fill="FFFFFF" w:themeFill="background1"/>
            <w:vAlign w:val="center"/>
          </w:tcPr>
          <w:p w:rsidR="00562D16" w:rsidRPr="00354DE9" w:rsidRDefault="00562D16" w:rsidP="00155A3B">
            <w:pPr>
              <w:rPr>
                <w:rFonts w:ascii="Arial" w:hAnsi="Arial" w:cs="Arial"/>
                <w:b/>
                <w:sz w:val="20"/>
                <w:szCs w:val="20"/>
              </w:rPr>
            </w:pPr>
            <w:r>
              <w:rPr>
                <w:rFonts w:ascii="Arial" w:hAnsi="Arial" w:cs="Arial"/>
                <w:b/>
                <w:sz w:val="20"/>
                <w:szCs w:val="20"/>
              </w:rPr>
              <w:t xml:space="preserve">Y-a-t-il une démarche participative associant les citoyens ? </w:t>
            </w:r>
          </w:p>
        </w:tc>
        <w:tc>
          <w:tcPr>
            <w:tcW w:w="6973" w:type="dxa"/>
            <w:gridSpan w:val="4"/>
            <w:vAlign w:val="center"/>
          </w:tcPr>
          <w:p w:rsidR="00562D16" w:rsidRPr="00354DE9" w:rsidRDefault="001361D6" w:rsidP="00D9224D">
            <w:pPr>
              <w:spacing w:line="253" w:lineRule="atLeast"/>
              <w:rPr>
                <w:rFonts w:ascii="Arial" w:eastAsia="Times New Roman" w:hAnsi="Arial" w:cs="Arial"/>
                <w:bCs/>
                <w:i/>
                <w:sz w:val="20"/>
                <w:szCs w:val="20"/>
                <w:lang w:eastAsia="fr-FR"/>
              </w:rPr>
            </w:pPr>
            <w:r>
              <w:rPr>
                <w:rFonts w:ascii="Arial" w:hAnsi="Arial" w:cs="Arial"/>
                <w:sz w:val="20"/>
                <w:szCs w:val="20"/>
              </w:rPr>
              <w:fldChar w:fldCharType="begin">
                <w:ffData>
                  <w:name w:val="CaseACocher62"/>
                  <w:enabled/>
                  <w:calcOnExit w:val="0"/>
                  <w:checkBox>
                    <w:sizeAuto/>
                    <w:default w:val="0"/>
                  </w:checkBox>
                </w:ffData>
              </w:fldChar>
            </w:r>
            <w:r>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Oui  </w:t>
            </w:r>
            <w:r w:rsidR="004337A3">
              <w:rPr>
                <w:rFonts w:ascii="Arial" w:hAnsi="Arial" w:cs="Arial"/>
                <w:sz w:val="20"/>
                <w:szCs w:val="20"/>
              </w:rPr>
              <w:fldChar w:fldCharType="begin">
                <w:ffData>
                  <w:name w:val=""/>
                  <w:enabled/>
                  <w:calcOnExit w:val="0"/>
                  <w:checkBox>
                    <w:sizeAuto/>
                    <w:default w:val="1"/>
                  </w:checkBox>
                </w:ffData>
              </w:fldChar>
            </w:r>
            <w:r w:rsidR="004337A3">
              <w:rPr>
                <w:rFonts w:ascii="Arial" w:hAnsi="Arial" w:cs="Arial"/>
                <w:sz w:val="20"/>
                <w:szCs w:val="20"/>
              </w:rPr>
              <w:instrText xml:space="preserve"> FORMCHECKBOX </w:instrText>
            </w:r>
            <w:r w:rsidR="00B75085">
              <w:rPr>
                <w:rFonts w:ascii="Arial" w:hAnsi="Arial" w:cs="Arial"/>
                <w:sz w:val="20"/>
                <w:szCs w:val="20"/>
              </w:rPr>
            </w:r>
            <w:r w:rsidR="00B75085">
              <w:rPr>
                <w:rFonts w:ascii="Arial" w:hAnsi="Arial" w:cs="Arial"/>
                <w:sz w:val="20"/>
                <w:szCs w:val="20"/>
              </w:rPr>
              <w:fldChar w:fldCharType="separate"/>
            </w:r>
            <w:r w:rsidR="004337A3">
              <w:rPr>
                <w:rFonts w:ascii="Arial" w:hAnsi="Arial" w:cs="Arial"/>
                <w:sz w:val="20"/>
                <w:szCs w:val="20"/>
              </w:rPr>
              <w:fldChar w:fldCharType="end"/>
            </w:r>
            <w:r w:rsidRPr="00EA7DFE">
              <w:rPr>
                <w:rFonts w:ascii="Arial" w:hAnsi="Arial" w:cs="Arial"/>
                <w:sz w:val="20"/>
                <w:szCs w:val="20"/>
              </w:rPr>
              <w:t xml:space="preserve"> Non</w:t>
            </w:r>
            <w:r>
              <w:rPr>
                <w:rFonts w:ascii="Arial" w:hAnsi="Arial" w:cs="Arial"/>
                <w:sz w:val="20"/>
                <w:szCs w:val="20"/>
              </w:rPr>
              <w:t xml:space="preserve"> (Précisez)</w:t>
            </w:r>
          </w:p>
        </w:tc>
      </w:tr>
      <w:tr w:rsidR="00F71D52" w:rsidRPr="00354DE9" w:rsidTr="00C55AAD">
        <w:trPr>
          <w:trHeight w:val="2842"/>
          <w:jc w:val="center"/>
        </w:trPr>
        <w:tc>
          <w:tcPr>
            <w:tcW w:w="2547" w:type="dxa"/>
            <w:shd w:val="clear" w:color="auto" w:fill="FFFFFF" w:themeFill="background1"/>
            <w:vAlign w:val="center"/>
          </w:tcPr>
          <w:p w:rsidR="00F71D52" w:rsidRPr="00354DE9" w:rsidRDefault="00F71D52" w:rsidP="00155A3B">
            <w:pPr>
              <w:rPr>
                <w:rFonts w:ascii="Arial" w:hAnsi="Arial" w:cs="Arial"/>
                <w:b/>
                <w:sz w:val="20"/>
                <w:szCs w:val="20"/>
              </w:rPr>
            </w:pPr>
            <w:r w:rsidRPr="00354DE9">
              <w:rPr>
                <w:rFonts w:ascii="Arial" w:hAnsi="Arial" w:cs="Arial"/>
                <w:b/>
                <w:sz w:val="20"/>
                <w:szCs w:val="20"/>
              </w:rPr>
              <w:t xml:space="preserve">Principaux indicateurs d’évaluation retenus </w:t>
            </w:r>
          </w:p>
        </w:tc>
        <w:tc>
          <w:tcPr>
            <w:tcW w:w="6973" w:type="dxa"/>
            <w:gridSpan w:val="4"/>
            <w:vAlign w:val="center"/>
          </w:tcPr>
          <w:p w:rsidR="00D9224D" w:rsidRDefault="00236FB1" w:rsidP="00236FB1">
            <w:pPr>
              <w:spacing w:line="253" w:lineRule="atLeast"/>
              <w:rPr>
                <w:rFonts w:ascii="Arial" w:hAnsi="Arial" w:cs="Arial"/>
                <w:b/>
                <w:i/>
                <w:sz w:val="20"/>
                <w:szCs w:val="20"/>
                <w:u w:val="single"/>
              </w:rPr>
            </w:pPr>
            <w:r>
              <w:rPr>
                <w:rFonts w:ascii="Arial" w:hAnsi="Arial" w:cs="Arial"/>
                <w:b/>
                <w:i/>
                <w:sz w:val="20"/>
                <w:szCs w:val="20"/>
                <w:u w:val="single"/>
              </w:rPr>
              <w:t>Evaluation propre de l’action </w:t>
            </w:r>
          </w:p>
          <w:p w:rsidR="00D9224D" w:rsidRDefault="00D9224D" w:rsidP="00236FB1">
            <w:pPr>
              <w:spacing w:line="253" w:lineRule="atLeast"/>
              <w:rPr>
                <w:rFonts w:ascii="Arial" w:hAnsi="Arial" w:cs="Arial"/>
                <w:b/>
                <w:i/>
                <w:sz w:val="20"/>
                <w:szCs w:val="20"/>
                <w:u w:val="single"/>
              </w:rPr>
            </w:pPr>
          </w:p>
          <w:p w:rsidR="00F71D52" w:rsidRDefault="00F71D52" w:rsidP="001772B5">
            <w:pPr>
              <w:spacing w:line="253" w:lineRule="atLeast"/>
              <w:rPr>
                <w:rFonts w:ascii="Arial" w:hAnsi="Arial" w:cs="Arial"/>
                <w:i/>
                <w:sz w:val="20"/>
                <w:szCs w:val="20"/>
              </w:rPr>
            </w:pPr>
            <w:r w:rsidRPr="00354DE9">
              <w:rPr>
                <w:rFonts w:ascii="Arial" w:hAnsi="Arial" w:cs="Arial"/>
                <w:b/>
                <w:i/>
                <w:sz w:val="20"/>
                <w:szCs w:val="20"/>
              </w:rPr>
              <w:t>Indicateurs de processus</w:t>
            </w:r>
            <w:r w:rsidRPr="00354DE9">
              <w:rPr>
                <w:rFonts w:ascii="Arial" w:hAnsi="Arial" w:cs="Arial"/>
                <w:i/>
                <w:sz w:val="20"/>
                <w:szCs w:val="20"/>
              </w:rPr>
              <w:t xml:space="preserve"> : </w:t>
            </w:r>
          </w:p>
          <w:p w:rsidR="00A44738" w:rsidRDefault="004337A3" w:rsidP="001772B5">
            <w:pPr>
              <w:jc w:val="both"/>
              <w:rPr>
                <w:rFonts w:ascii="Arial" w:hAnsi="Arial" w:cs="Arial"/>
                <w:sz w:val="20"/>
                <w:szCs w:val="20"/>
              </w:rPr>
            </w:pPr>
            <w:r>
              <w:rPr>
                <w:rFonts w:ascii="Arial" w:hAnsi="Arial" w:cs="Arial"/>
                <w:sz w:val="20"/>
                <w:szCs w:val="20"/>
              </w:rPr>
              <w:t>Typologie des acteurs présents dans le comité</w:t>
            </w:r>
          </w:p>
          <w:p w:rsidR="004337A3" w:rsidRPr="001772B5" w:rsidRDefault="004337A3" w:rsidP="001772B5">
            <w:pPr>
              <w:jc w:val="both"/>
              <w:rPr>
                <w:rFonts w:ascii="Arial" w:hAnsi="Arial" w:cs="Arial"/>
                <w:sz w:val="20"/>
                <w:szCs w:val="20"/>
              </w:rPr>
            </w:pPr>
            <w:r>
              <w:rPr>
                <w:rFonts w:ascii="Arial" w:hAnsi="Arial" w:cs="Arial"/>
                <w:sz w:val="20"/>
                <w:szCs w:val="20"/>
              </w:rPr>
              <w:t>Nombre de réunion du comité</w:t>
            </w:r>
          </w:p>
          <w:p w:rsidR="00F71D52" w:rsidRDefault="00F71D52" w:rsidP="00F16670">
            <w:pPr>
              <w:spacing w:line="253" w:lineRule="atLeast"/>
              <w:rPr>
                <w:rFonts w:ascii="Arial" w:hAnsi="Arial" w:cs="Arial"/>
                <w:b/>
                <w:i/>
                <w:sz w:val="20"/>
                <w:szCs w:val="20"/>
              </w:rPr>
            </w:pPr>
            <w:r w:rsidRPr="00354DE9">
              <w:rPr>
                <w:rFonts w:ascii="Arial" w:hAnsi="Arial" w:cs="Arial"/>
                <w:b/>
                <w:i/>
                <w:sz w:val="20"/>
                <w:szCs w:val="20"/>
              </w:rPr>
              <w:t>Indicateurs de résultat</w:t>
            </w:r>
            <w:r w:rsidR="00200CC5">
              <w:rPr>
                <w:rFonts w:ascii="Arial" w:hAnsi="Arial" w:cs="Arial"/>
                <w:b/>
                <w:i/>
                <w:sz w:val="20"/>
                <w:szCs w:val="20"/>
              </w:rPr>
              <w:t xml:space="preserve"> </w:t>
            </w:r>
            <w:r w:rsidRPr="00354DE9">
              <w:rPr>
                <w:rFonts w:ascii="Arial" w:hAnsi="Arial" w:cs="Arial"/>
                <w:b/>
                <w:i/>
                <w:sz w:val="20"/>
                <w:szCs w:val="20"/>
              </w:rPr>
              <w:t xml:space="preserve">: </w:t>
            </w:r>
          </w:p>
          <w:p w:rsidR="006C222A" w:rsidRPr="004337A3" w:rsidRDefault="004337A3" w:rsidP="00F16670">
            <w:pPr>
              <w:spacing w:line="253" w:lineRule="atLeast"/>
              <w:rPr>
                <w:rFonts w:ascii="Arial" w:eastAsia="Times New Roman" w:hAnsi="Arial" w:cs="Arial"/>
                <w:bCs/>
                <w:sz w:val="20"/>
                <w:szCs w:val="20"/>
                <w:lang w:eastAsia="fr-FR"/>
              </w:rPr>
            </w:pPr>
            <w:r w:rsidRPr="004337A3">
              <w:rPr>
                <w:rFonts w:ascii="Arial" w:eastAsia="Times New Roman" w:hAnsi="Arial" w:cs="Arial"/>
                <w:bCs/>
                <w:sz w:val="20"/>
                <w:szCs w:val="20"/>
                <w:lang w:eastAsia="fr-FR"/>
              </w:rPr>
              <w:t xml:space="preserve">Mise en place de la stratégie commune </w:t>
            </w:r>
          </w:p>
          <w:p w:rsidR="004337A3" w:rsidRPr="004337A3" w:rsidRDefault="004337A3" w:rsidP="00F16670">
            <w:pPr>
              <w:spacing w:line="253" w:lineRule="atLeast"/>
              <w:rPr>
                <w:rFonts w:ascii="Arial" w:eastAsia="Times New Roman" w:hAnsi="Arial" w:cs="Arial"/>
                <w:bCs/>
                <w:sz w:val="20"/>
                <w:szCs w:val="20"/>
                <w:lang w:eastAsia="fr-FR"/>
              </w:rPr>
            </w:pPr>
            <w:r w:rsidRPr="004337A3">
              <w:rPr>
                <w:rFonts w:ascii="Arial" w:eastAsia="Times New Roman" w:hAnsi="Arial" w:cs="Arial"/>
                <w:bCs/>
                <w:sz w:val="20"/>
                <w:szCs w:val="20"/>
                <w:lang w:eastAsia="fr-FR"/>
              </w:rPr>
              <w:t>Mise en place du programme d’action</w:t>
            </w:r>
          </w:p>
          <w:p w:rsidR="004337A3" w:rsidRPr="004337A3" w:rsidRDefault="004337A3" w:rsidP="00F16670">
            <w:pPr>
              <w:spacing w:line="253" w:lineRule="atLeast"/>
              <w:rPr>
                <w:rFonts w:ascii="Arial" w:eastAsia="Times New Roman" w:hAnsi="Arial" w:cs="Arial"/>
                <w:bCs/>
                <w:sz w:val="20"/>
                <w:szCs w:val="20"/>
                <w:lang w:eastAsia="fr-FR"/>
              </w:rPr>
            </w:pPr>
            <w:r w:rsidRPr="004337A3">
              <w:rPr>
                <w:rFonts w:ascii="Arial" w:eastAsia="Times New Roman" w:hAnsi="Arial" w:cs="Arial"/>
                <w:bCs/>
                <w:sz w:val="20"/>
                <w:szCs w:val="20"/>
                <w:lang w:eastAsia="fr-FR"/>
              </w:rPr>
              <w:t>Nombre d’action mise en place</w:t>
            </w:r>
          </w:p>
          <w:p w:rsidR="006C222A" w:rsidRPr="0072088C" w:rsidRDefault="00200CC5" w:rsidP="00F16670">
            <w:pPr>
              <w:spacing w:line="253" w:lineRule="atLeast"/>
              <w:rPr>
                <w:rFonts w:ascii="Arial" w:eastAsia="Times New Roman" w:hAnsi="Arial" w:cs="Arial"/>
                <w:bCs/>
                <w:sz w:val="20"/>
                <w:szCs w:val="20"/>
                <w:lang w:eastAsia="fr-FR"/>
              </w:rPr>
            </w:pPr>
            <w:r>
              <w:rPr>
                <w:rFonts w:ascii="Arial" w:eastAsia="Times New Roman" w:hAnsi="Arial" w:cs="Arial"/>
                <w:b/>
                <w:bCs/>
                <w:i/>
                <w:sz w:val="20"/>
                <w:szCs w:val="20"/>
                <w:lang w:eastAsia="fr-FR"/>
              </w:rPr>
              <w:t xml:space="preserve">Indicateur d’impact </w:t>
            </w:r>
            <w:r w:rsidR="00413208" w:rsidRPr="00413208">
              <w:rPr>
                <w:rFonts w:ascii="Arial" w:eastAsia="Times New Roman" w:hAnsi="Arial" w:cs="Arial"/>
                <w:b/>
                <w:bCs/>
                <w:i/>
                <w:sz w:val="20"/>
                <w:szCs w:val="20"/>
                <w:lang w:eastAsia="fr-FR"/>
              </w:rPr>
              <w:t>:</w:t>
            </w:r>
            <w:r w:rsidR="0072088C">
              <w:rPr>
                <w:rFonts w:ascii="Arial" w:eastAsia="Times New Roman" w:hAnsi="Arial" w:cs="Arial"/>
                <w:b/>
                <w:bCs/>
                <w:i/>
                <w:sz w:val="20"/>
                <w:szCs w:val="20"/>
                <w:lang w:eastAsia="fr-FR"/>
              </w:rPr>
              <w:t xml:space="preserve"> </w:t>
            </w:r>
            <w:r w:rsidR="0072088C" w:rsidRPr="0072088C">
              <w:rPr>
                <w:rFonts w:ascii="Arial" w:eastAsia="Times New Roman" w:hAnsi="Arial" w:cs="Arial"/>
                <w:bCs/>
                <w:sz w:val="20"/>
                <w:szCs w:val="20"/>
                <w:lang w:eastAsia="fr-FR"/>
              </w:rPr>
              <w:t>Capacité du territoire à attirer de nouveaux professionnels</w:t>
            </w:r>
          </w:p>
          <w:p w:rsidR="00562D16" w:rsidRDefault="00562D16" w:rsidP="00F16670">
            <w:pPr>
              <w:spacing w:line="253" w:lineRule="atLeast"/>
              <w:rPr>
                <w:rFonts w:ascii="Arial" w:eastAsia="Times New Roman" w:hAnsi="Arial" w:cs="Arial"/>
                <w:bCs/>
                <w:i/>
                <w:sz w:val="20"/>
                <w:szCs w:val="20"/>
                <w:lang w:eastAsia="fr-FR"/>
              </w:rPr>
            </w:pPr>
          </w:p>
          <w:p w:rsidR="00562D16" w:rsidRPr="0072088C" w:rsidRDefault="00562D16" w:rsidP="00F16670">
            <w:pPr>
              <w:spacing w:line="253" w:lineRule="atLeast"/>
              <w:rPr>
                <w:rFonts w:ascii="Arial" w:eastAsia="Times New Roman" w:hAnsi="Arial" w:cs="Arial"/>
                <w:bCs/>
                <w:sz w:val="20"/>
                <w:szCs w:val="20"/>
                <w:lang w:eastAsia="fr-FR"/>
              </w:rPr>
            </w:pPr>
            <w:r w:rsidRPr="00562D16">
              <w:rPr>
                <w:rFonts w:ascii="Arial" w:eastAsia="Times New Roman" w:hAnsi="Arial" w:cs="Arial"/>
                <w:b/>
                <w:bCs/>
                <w:i/>
                <w:sz w:val="20"/>
                <w:szCs w:val="20"/>
                <w:lang w:eastAsia="fr-FR"/>
              </w:rPr>
              <w:t>Méthode d’évaluation envisagée :</w:t>
            </w:r>
            <w:r w:rsidR="0072088C">
              <w:rPr>
                <w:rFonts w:ascii="Arial" w:eastAsia="Times New Roman" w:hAnsi="Arial" w:cs="Arial"/>
                <w:b/>
                <w:bCs/>
                <w:i/>
                <w:sz w:val="20"/>
                <w:szCs w:val="20"/>
                <w:lang w:eastAsia="fr-FR"/>
              </w:rPr>
              <w:t xml:space="preserve"> </w:t>
            </w:r>
            <w:r w:rsidR="0072088C" w:rsidRPr="0072088C">
              <w:rPr>
                <w:rFonts w:ascii="Arial" w:eastAsia="Times New Roman" w:hAnsi="Arial" w:cs="Arial"/>
                <w:bCs/>
                <w:sz w:val="20"/>
                <w:szCs w:val="20"/>
                <w:lang w:eastAsia="fr-FR"/>
              </w:rPr>
              <w:t>Fiches de présence, calendrier d’action</w:t>
            </w:r>
          </w:p>
          <w:p w:rsidR="00EA7DFE" w:rsidRPr="00562D16" w:rsidRDefault="00EA7DFE" w:rsidP="00F16670">
            <w:pPr>
              <w:spacing w:line="253" w:lineRule="atLeast"/>
              <w:rPr>
                <w:rFonts w:ascii="Arial" w:eastAsia="Times New Roman" w:hAnsi="Arial" w:cs="Arial"/>
                <w:b/>
                <w:bCs/>
                <w:i/>
                <w:sz w:val="20"/>
                <w:szCs w:val="20"/>
                <w:lang w:eastAsia="fr-FR"/>
              </w:rPr>
            </w:pPr>
          </w:p>
        </w:tc>
      </w:tr>
      <w:bookmarkEnd w:id="0"/>
    </w:tbl>
    <w:p w:rsidR="00C55AAD" w:rsidRPr="007006B6" w:rsidRDefault="00C55AAD" w:rsidP="00CB54D6">
      <w:pPr>
        <w:spacing w:after="0" w:line="260" w:lineRule="atLeast"/>
        <w:rPr>
          <w:i/>
          <w:color w:val="7F7F7F" w:themeColor="text1" w:themeTint="80"/>
          <w:sz w:val="24"/>
          <w:highlight w:val="magenta"/>
        </w:rPr>
      </w:pPr>
    </w:p>
    <w:sectPr w:rsidR="00C55AAD" w:rsidRPr="007006B6" w:rsidSect="003211A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386" w:rsidRDefault="00590386" w:rsidP="000F65D0">
      <w:pPr>
        <w:spacing w:after="0" w:line="240" w:lineRule="auto"/>
      </w:pPr>
      <w:r>
        <w:separator/>
      </w:r>
    </w:p>
  </w:endnote>
  <w:endnote w:type="continuationSeparator" w:id="0">
    <w:p w:rsidR="00590386" w:rsidRDefault="00590386" w:rsidP="000F6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9FE" w:rsidRPr="00697F84" w:rsidRDefault="00BA59FE" w:rsidP="000F65D0">
    <w:pPr>
      <w:pStyle w:val="Pieddepage"/>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386" w:rsidRDefault="00590386" w:rsidP="000F65D0">
      <w:pPr>
        <w:spacing w:after="0" w:line="240" w:lineRule="auto"/>
      </w:pPr>
      <w:r>
        <w:separator/>
      </w:r>
    </w:p>
  </w:footnote>
  <w:footnote w:type="continuationSeparator" w:id="0">
    <w:p w:rsidR="00590386" w:rsidRDefault="00590386" w:rsidP="000F6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7BE"/>
    <w:multiLevelType w:val="hybridMultilevel"/>
    <w:tmpl w:val="4EE89E30"/>
    <w:lvl w:ilvl="0" w:tplc="040C0001">
      <w:start w:val="1"/>
      <w:numFmt w:val="bullet"/>
      <w:lvlText w:val=""/>
      <w:lvlJc w:val="left"/>
      <w:pPr>
        <w:ind w:left="1518" w:hanging="360"/>
      </w:pPr>
      <w:rPr>
        <w:rFonts w:ascii="Symbol" w:hAnsi="Symbol" w:hint="default"/>
      </w:rPr>
    </w:lvl>
    <w:lvl w:ilvl="1" w:tplc="040C0003" w:tentative="1">
      <w:start w:val="1"/>
      <w:numFmt w:val="bullet"/>
      <w:lvlText w:val="o"/>
      <w:lvlJc w:val="left"/>
      <w:pPr>
        <w:ind w:left="2238" w:hanging="360"/>
      </w:pPr>
      <w:rPr>
        <w:rFonts w:ascii="Courier New" w:hAnsi="Courier New" w:cs="Courier New" w:hint="default"/>
      </w:rPr>
    </w:lvl>
    <w:lvl w:ilvl="2" w:tplc="040C0005" w:tentative="1">
      <w:start w:val="1"/>
      <w:numFmt w:val="bullet"/>
      <w:lvlText w:val=""/>
      <w:lvlJc w:val="left"/>
      <w:pPr>
        <w:ind w:left="2958" w:hanging="360"/>
      </w:pPr>
      <w:rPr>
        <w:rFonts w:ascii="Wingdings" w:hAnsi="Wingdings" w:hint="default"/>
      </w:rPr>
    </w:lvl>
    <w:lvl w:ilvl="3" w:tplc="040C0001" w:tentative="1">
      <w:start w:val="1"/>
      <w:numFmt w:val="bullet"/>
      <w:lvlText w:val=""/>
      <w:lvlJc w:val="left"/>
      <w:pPr>
        <w:ind w:left="3678" w:hanging="360"/>
      </w:pPr>
      <w:rPr>
        <w:rFonts w:ascii="Symbol" w:hAnsi="Symbol" w:hint="default"/>
      </w:rPr>
    </w:lvl>
    <w:lvl w:ilvl="4" w:tplc="040C0003" w:tentative="1">
      <w:start w:val="1"/>
      <w:numFmt w:val="bullet"/>
      <w:lvlText w:val="o"/>
      <w:lvlJc w:val="left"/>
      <w:pPr>
        <w:ind w:left="4398" w:hanging="360"/>
      </w:pPr>
      <w:rPr>
        <w:rFonts w:ascii="Courier New" w:hAnsi="Courier New" w:cs="Courier New" w:hint="default"/>
      </w:rPr>
    </w:lvl>
    <w:lvl w:ilvl="5" w:tplc="040C0005" w:tentative="1">
      <w:start w:val="1"/>
      <w:numFmt w:val="bullet"/>
      <w:lvlText w:val=""/>
      <w:lvlJc w:val="left"/>
      <w:pPr>
        <w:ind w:left="5118" w:hanging="360"/>
      </w:pPr>
      <w:rPr>
        <w:rFonts w:ascii="Wingdings" w:hAnsi="Wingdings" w:hint="default"/>
      </w:rPr>
    </w:lvl>
    <w:lvl w:ilvl="6" w:tplc="040C0001" w:tentative="1">
      <w:start w:val="1"/>
      <w:numFmt w:val="bullet"/>
      <w:lvlText w:val=""/>
      <w:lvlJc w:val="left"/>
      <w:pPr>
        <w:ind w:left="5838" w:hanging="360"/>
      </w:pPr>
      <w:rPr>
        <w:rFonts w:ascii="Symbol" w:hAnsi="Symbol" w:hint="default"/>
      </w:rPr>
    </w:lvl>
    <w:lvl w:ilvl="7" w:tplc="040C0003" w:tentative="1">
      <w:start w:val="1"/>
      <w:numFmt w:val="bullet"/>
      <w:lvlText w:val="o"/>
      <w:lvlJc w:val="left"/>
      <w:pPr>
        <w:ind w:left="6558" w:hanging="360"/>
      </w:pPr>
      <w:rPr>
        <w:rFonts w:ascii="Courier New" w:hAnsi="Courier New" w:cs="Courier New" w:hint="default"/>
      </w:rPr>
    </w:lvl>
    <w:lvl w:ilvl="8" w:tplc="040C0005" w:tentative="1">
      <w:start w:val="1"/>
      <w:numFmt w:val="bullet"/>
      <w:lvlText w:val=""/>
      <w:lvlJc w:val="left"/>
      <w:pPr>
        <w:ind w:left="7278" w:hanging="360"/>
      </w:pPr>
      <w:rPr>
        <w:rFonts w:ascii="Wingdings" w:hAnsi="Wingdings" w:hint="default"/>
      </w:rPr>
    </w:lvl>
  </w:abstractNum>
  <w:abstractNum w:abstractNumId="1" w15:restartNumberingAfterBreak="0">
    <w:nsid w:val="2D4F7A8E"/>
    <w:multiLevelType w:val="hybridMultilevel"/>
    <w:tmpl w:val="F9DADC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11C08F8"/>
    <w:multiLevelType w:val="hybridMultilevel"/>
    <w:tmpl w:val="A6EEA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B35BAF"/>
    <w:multiLevelType w:val="hybridMultilevel"/>
    <w:tmpl w:val="1110E3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271790"/>
    <w:multiLevelType w:val="hybridMultilevel"/>
    <w:tmpl w:val="C96CC8EA"/>
    <w:lvl w:ilvl="0" w:tplc="E7C40A7E">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C134341"/>
    <w:multiLevelType w:val="hybridMultilevel"/>
    <w:tmpl w:val="23DCFC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E8451E7"/>
    <w:multiLevelType w:val="hybridMultilevel"/>
    <w:tmpl w:val="1110E3B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44D"/>
    <w:rsid w:val="00003907"/>
    <w:rsid w:val="000275F3"/>
    <w:rsid w:val="000369F8"/>
    <w:rsid w:val="0003703E"/>
    <w:rsid w:val="000415CE"/>
    <w:rsid w:val="000467C4"/>
    <w:rsid w:val="000663A6"/>
    <w:rsid w:val="0007266E"/>
    <w:rsid w:val="00081313"/>
    <w:rsid w:val="0009071D"/>
    <w:rsid w:val="00092B06"/>
    <w:rsid w:val="00095BF8"/>
    <w:rsid w:val="000B410A"/>
    <w:rsid w:val="000D20D5"/>
    <w:rsid w:val="000F65D0"/>
    <w:rsid w:val="00132058"/>
    <w:rsid w:val="001361D6"/>
    <w:rsid w:val="00143098"/>
    <w:rsid w:val="001514A1"/>
    <w:rsid w:val="00155A3B"/>
    <w:rsid w:val="001772B5"/>
    <w:rsid w:val="00185572"/>
    <w:rsid w:val="001A363E"/>
    <w:rsid w:val="001B5676"/>
    <w:rsid w:val="001B66A4"/>
    <w:rsid w:val="001D2B35"/>
    <w:rsid w:val="001D3C27"/>
    <w:rsid w:val="001D5A64"/>
    <w:rsid w:val="001F3366"/>
    <w:rsid w:val="00200CC5"/>
    <w:rsid w:val="00206A23"/>
    <w:rsid w:val="00220C2D"/>
    <w:rsid w:val="00232B63"/>
    <w:rsid w:val="00232D46"/>
    <w:rsid w:val="002369FA"/>
    <w:rsid w:val="00236FB1"/>
    <w:rsid w:val="0027785F"/>
    <w:rsid w:val="00283654"/>
    <w:rsid w:val="002A03EA"/>
    <w:rsid w:val="002B2249"/>
    <w:rsid w:val="002B64AB"/>
    <w:rsid w:val="002C3F5E"/>
    <w:rsid w:val="002C5D0C"/>
    <w:rsid w:val="002E030B"/>
    <w:rsid w:val="002E571E"/>
    <w:rsid w:val="002F799F"/>
    <w:rsid w:val="00302BF2"/>
    <w:rsid w:val="00303F67"/>
    <w:rsid w:val="0031277A"/>
    <w:rsid w:val="00317EE6"/>
    <w:rsid w:val="003211AB"/>
    <w:rsid w:val="00354DE9"/>
    <w:rsid w:val="0036710F"/>
    <w:rsid w:val="0039458C"/>
    <w:rsid w:val="003B3017"/>
    <w:rsid w:val="003B50D4"/>
    <w:rsid w:val="003C1972"/>
    <w:rsid w:val="003C5A06"/>
    <w:rsid w:val="003C7858"/>
    <w:rsid w:val="003C7B4A"/>
    <w:rsid w:val="003D3A7D"/>
    <w:rsid w:val="003D7039"/>
    <w:rsid w:val="003E06AB"/>
    <w:rsid w:val="003E6827"/>
    <w:rsid w:val="003F4186"/>
    <w:rsid w:val="003F4EAB"/>
    <w:rsid w:val="00406721"/>
    <w:rsid w:val="00413208"/>
    <w:rsid w:val="004205F4"/>
    <w:rsid w:val="004337A3"/>
    <w:rsid w:val="004438EA"/>
    <w:rsid w:val="004538FE"/>
    <w:rsid w:val="00454C16"/>
    <w:rsid w:val="0046751A"/>
    <w:rsid w:val="00470F3C"/>
    <w:rsid w:val="00485C93"/>
    <w:rsid w:val="0049141B"/>
    <w:rsid w:val="00493814"/>
    <w:rsid w:val="00497CC6"/>
    <w:rsid w:val="004B09AF"/>
    <w:rsid w:val="004D2233"/>
    <w:rsid w:val="004E3FC8"/>
    <w:rsid w:val="00514B68"/>
    <w:rsid w:val="00520A61"/>
    <w:rsid w:val="005259C1"/>
    <w:rsid w:val="005279BE"/>
    <w:rsid w:val="005424C3"/>
    <w:rsid w:val="00562D16"/>
    <w:rsid w:val="00565122"/>
    <w:rsid w:val="0057104E"/>
    <w:rsid w:val="00575F7C"/>
    <w:rsid w:val="00581B8F"/>
    <w:rsid w:val="005843B6"/>
    <w:rsid w:val="0058636E"/>
    <w:rsid w:val="00587D2A"/>
    <w:rsid w:val="00587EDF"/>
    <w:rsid w:val="00590386"/>
    <w:rsid w:val="005B3191"/>
    <w:rsid w:val="005B45F0"/>
    <w:rsid w:val="005C4530"/>
    <w:rsid w:val="005C6B90"/>
    <w:rsid w:val="005D223B"/>
    <w:rsid w:val="005E0E8C"/>
    <w:rsid w:val="005E3E50"/>
    <w:rsid w:val="005F1C88"/>
    <w:rsid w:val="00603E4F"/>
    <w:rsid w:val="006075C2"/>
    <w:rsid w:val="006103D7"/>
    <w:rsid w:val="00635DD5"/>
    <w:rsid w:val="00642029"/>
    <w:rsid w:val="00645F05"/>
    <w:rsid w:val="00666C3C"/>
    <w:rsid w:val="00667A06"/>
    <w:rsid w:val="00683C9E"/>
    <w:rsid w:val="00697F84"/>
    <w:rsid w:val="006C222A"/>
    <w:rsid w:val="006E7AC4"/>
    <w:rsid w:val="006E7EA4"/>
    <w:rsid w:val="006F6247"/>
    <w:rsid w:val="007006B6"/>
    <w:rsid w:val="0070294D"/>
    <w:rsid w:val="0072088C"/>
    <w:rsid w:val="0072428A"/>
    <w:rsid w:val="00737BD8"/>
    <w:rsid w:val="007452AB"/>
    <w:rsid w:val="00765FA6"/>
    <w:rsid w:val="007716C5"/>
    <w:rsid w:val="0077518F"/>
    <w:rsid w:val="007A2C05"/>
    <w:rsid w:val="007A43F5"/>
    <w:rsid w:val="007C085A"/>
    <w:rsid w:val="007C6079"/>
    <w:rsid w:val="007C733F"/>
    <w:rsid w:val="007D344D"/>
    <w:rsid w:val="007F5BDF"/>
    <w:rsid w:val="007F5EE5"/>
    <w:rsid w:val="008124C7"/>
    <w:rsid w:val="0083674A"/>
    <w:rsid w:val="0084326F"/>
    <w:rsid w:val="0085285D"/>
    <w:rsid w:val="00853973"/>
    <w:rsid w:val="00867184"/>
    <w:rsid w:val="00880675"/>
    <w:rsid w:val="008955BD"/>
    <w:rsid w:val="008B1140"/>
    <w:rsid w:val="008D6145"/>
    <w:rsid w:val="008D747C"/>
    <w:rsid w:val="008E00F9"/>
    <w:rsid w:val="008E2932"/>
    <w:rsid w:val="008E35E9"/>
    <w:rsid w:val="0090054A"/>
    <w:rsid w:val="0090317F"/>
    <w:rsid w:val="0091435A"/>
    <w:rsid w:val="009302A4"/>
    <w:rsid w:val="00931A42"/>
    <w:rsid w:val="009507D8"/>
    <w:rsid w:val="00960EB5"/>
    <w:rsid w:val="0097702E"/>
    <w:rsid w:val="00993EAA"/>
    <w:rsid w:val="00996C61"/>
    <w:rsid w:val="009B2256"/>
    <w:rsid w:val="009D1504"/>
    <w:rsid w:val="009D2C12"/>
    <w:rsid w:val="009E216D"/>
    <w:rsid w:val="009E3C5B"/>
    <w:rsid w:val="009E5171"/>
    <w:rsid w:val="00A05F6F"/>
    <w:rsid w:val="00A06420"/>
    <w:rsid w:val="00A064B3"/>
    <w:rsid w:val="00A12063"/>
    <w:rsid w:val="00A12491"/>
    <w:rsid w:val="00A17758"/>
    <w:rsid w:val="00A26463"/>
    <w:rsid w:val="00A35419"/>
    <w:rsid w:val="00A44738"/>
    <w:rsid w:val="00A50A11"/>
    <w:rsid w:val="00A52410"/>
    <w:rsid w:val="00A57895"/>
    <w:rsid w:val="00A65EA5"/>
    <w:rsid w:val="00A84D22"/>
    <w:rsid w:val="00A853BA"/>
    <w:rsid w:val="00A85539"/>
    <w:rsid w:val="00A91263"/>
    <w:rsid w:val="00A95222"/>
    <w:rsid w:val="00AA64E8"/>
    <w:rsid w:val="00AB46F7"/>
    <w:rsid w:val="00AC4EAF"/>
    <w:rsid w:val="00AC64C8"/>
    <w:rsid w:val="00AE0A60"/>
    <w:rsid w:val="00B16701"/>
    <w:rsid w:val="00B30CB5"/>
    <w:rsid w:val="00B3589D"/>
    <w:rsid w:val="00B6113B"/>
    <w:rsid w:val="00B63045"/>
    <w:rsid w:val="00B63C78"/>
    <w:rsid w:val="00B75085"/>
    <w:rsid w:val="00B77E55"/>
    <w:rsid w:val="00B81913"/>
    <w:rsid w:val="00B90206"/>
    <w:rsid w:val="00BA28B9"/>
    <w:rsid w:val="00BA59FE"/>
    <w:rsid w:val="00BA67BA"/>
    <w:rsid w:val="00BB4009"/>
    <w:rsid w:val="00BB46BC"/>
    <w:rsid w:val="00BC1EC3"/>
    <w:rsid w:val="00BC68A1"/>
    <w:rsid w:val="00BD43A8"/>
    <w:rsid w:val="00BD6522"/>
    <w:rsid w:val="00C064B1"/>
    <w:rsid w:val="00C108AC"/>
    <w:rsid w:val="00C20F50"/>
    <w:rsid w:val="00C24B6E"/>
    <w:rsid w:val="00C55AAD"/>
    <w:rsid w:val="00C64A31"/>
    <w:rsid w:val="00C66B41"/>
    <w:rsid w:val="00C67C76"/>
    <w:rsid w:val="00C861E6"/>
    <w:rsid w:val="00CA5EAF"/>
    <w:rsid w:val="00CB0C23"/>
    <w:rsid w:val="00CB1869"/>
    <w:rsid w:val="00CB2089"/>
    <w:rsid w:val="00CB54D6"/>
    <w:rsid w:val="00CE2A16"/>
    <w:rsid w:val="00CF332C"/>
    <w:rsid w:val="00CF4089"/>
    <w:rsid w:val="00CF5A01"/>
    <w:rsid w:val="00D06A10"/>
    <w:rsid w:val="00D207A0"/>
    <w:rsid w:val="00D26527"/>
    <w:rsid w:val="00D515D0"/>
    <w:rsid w:val="00D6315F"/>
    <w:rsid w:val="00D857D5"/>
    <w:rsid w:val="00D918EE"/>
    <w:rsid w:val="00D9224D"/>
    <w:rsid w:val="00D93E1D"/>
    <w:rsid w:val="00D97F22"/>
    <w:rsid w:val="00DB1DCC"/>
    <w:rsid w:val="00DC5BF0"/>
    <w:rsid w:val="00DD41B9"/>
    <w:rsid w:val="00DE7211"/>
    <w:rsid w:val="00E22823"/>
    <w:rsid w:val="00E4089D"/>
    <w:rsid w:val="00E42C22"/>
    <w:rsid w:val="00E71DC1"/>
    <w:rsid w:val="00E92D2D"/>
    <w:rsid w:val="00EA7DFE"/>
    <w:rsid w:val="00EB1BBA"/>
    <w:rsid w:val="00EC51E6"/>
    <w:rsid w:val="00ED0575"/>
    <w:rsid w:val="00EE1636"/>
    <w:rsid w:val="00EE519C"/>
    <w:rsid w:val="00F008ED"/>
    <w:rsid w:val="00F16670"/>
    <w:rsid w:val="00F4306F"/>
    <w:rsid w:val="00F47D59"/>
    <w:rsid w:val="00F56621"/>
    <w:rsid w:val="00F67A8A"/>
    <w:rsid w:val="00F71D52"/>
    <w:rsid w:val="00F743EE"/>
    <w:rsid w:val="00F77CFC"/>
    <w:rsid w:val="00F91A39"/>
    <w:rsid w:val="00F922DC"/>
    <w:rsid w:val="00F940FE"/>
    <w:rsid w:val="00FA242B"/>
    <w:rsid w:val="00FA3D0E"/>
    <w:rsid w:val="00FB0EB1"/>
    <w:rsid w:val="00FC2812"/>
    <w:rsid w:val="00FD77E9"/>
    <w:rsid w:val="00FE07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4697"/>
  <w15:docId w15:val="{23A56593-BA81-4277-8CB1-8C85473E7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46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D3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F65D0"/>
    <w:pPr>
      <w:tabs>
        <w:tab w:val="center" w:pos="4536"/>
        <w:tab w:val="right" w:pos="9072"/>
      </w:tabs>
      <w:spacing w:after="0" w:line="240" w:lineRule="auto"/>
    </w:pPr>
  </w:style>
  <w:style w:type="character" w:customStyle="1" w:styleId="En-tteCar">
    <w:name w:val="En-tête Car"/>
    <w:basedOn w:val="Policepardfaut"/>
    <w:link w:val="En-tte"/>
    <w:uiPriority w:val="99"/>
    <w:rsid w:val="000F65D0"/>
  </w:style>
  <w:style w:type="paragraph" w:styleId="Pieddepage">
    <w:name w:val="footer"/>
    <w:basedOn w:val="Normal"/>
    <w:link w:val="PieddepageCar"/>
    <w:uiPriority w:val="99"/>
    <w:unhideWhenUsed/>
    <w:rsid w:val="000F65D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5D0"/>
  </w:style>
  <w:style w:type="paragraph" w:styleId="Textedebulles">
    <w:name w:val="Balloon Text"/>
    <w:basedOn w:val="Normal"/>
    <w:link w:val="TextedebullesCar"/>
    <w:uiPriority w:val="99"/>
    <w:semiHidden/>
    <w:unhideWhenUsed/>
    <w:rsid w:val="009E3C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3C5B"/>
    <w:rPr>
      <w:rFonts w:ascii="Tahoma" w:hAnsi="Tahoma" w:cs="Tahoma"/>
      <w:sz w:val="16"/>
      <w:szCs w:val="16"/>
    </w:rPr>
  </w:style>
  <w:style w:type="paragraph" w:customStyle="1" w:styleId="Default">
    <w:name w:val="Default"/>
    <w:rsid w:val="0058636E"/>
    <w:pPr>
      <w:autoSpaceDE w:val="0"/>
      <w:autoSpaceDN w:val="0"/>
      <w:adjustRightInd w:val="0"/>
      <w:spacing w:after="0" w:line="240" w:lineRule="auto"/>
    </w:pPr>
    <w:rPr>
      <w:rFonts w:ascii="Arial" w:hAnsi="Arial" w:cs="Arial"/>
      <w:color w:val="000000"/>
      <w:sz w:val="24"/>
      <w:szCs w:val="24"/>
    </w:rPr>
  </w:style>
  <w:style w:type="character" w:styleId="Textedelespacerserv">
    <w:name w:val="Placeholder Text"/>
    <w:basedOn w:val="Policepardfaut"/>
    <w:uiPriority w:val="99"/>
    <w:semiHidden/>
    <w:rsid w:val="00C20F50"/>
    <w:rPr>
      <w:color w:val="808080"/>
    </w:rPr>
  </w:style>
  <w:style w:type="paragraph" w:styleId="Paragraphedeliste">
    <w:name w:val="List Paragraph"/>
    <w:basedOn w:val="Normal"/>
    <w:uiPriority w:val="34"/>
    <w:qFormat/>
    <w:rsid w:val="00CF332C"/>
    <w:pPr>
      <w:ind w:left="720"/>
      <w:contextualSpacing/>
    </w:pPr>
  </w:style>
  <w:style w:type="character" w:styleId="lev">
    <w:name w:val="Strong"/>
    <w:basedOn w:val="Policepardfaut"/>
    <w:uiPriority w:val="22"/>
    <w:qFormat/>
    <w:rsid w:val="00A84D22"/>
    <w:rPr>
      <w:b/>
      <w:bCs/>
    </w:rPr>
  </w:style>
  <w:style w:type="character" w:styleId="Lienhypertexte">
    <w:name w:val="Hyperlink"/>
    <w:basedOn w:val="Policepardfaut"/>
    <w:uiPriority w:val="99"/>
    <w:unhideWhenUsed/>
    <w:rsid w:val="000663A6"/>
    <w:rPr>
      <w:color w:val="0000FF"/>
      <w:u w:val="single"/>
    </w:rPr>
  </w:style>
  <w:style w:type="character" w:customStyle="1" w:styleId="Mentionnonrsolue1">
    <w:name w:val="Mention non résolue1"/>
    <w:basedOn w:val="Policepardfaut"/>
    <w:uiPriority w:val="99"/>
    <w:semiHidden/>
    <w:unhideWhenUsed/>
    <w:rsid w:val="00277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399864">
      <w:bodyDiv w:val="1"/>
      <w:marLeft w:val="0"/>
      <w:marRight w:val="0"/>
      <w:marTop w:val="0"/>
      <w:marBottom w:val="0"/>
      <w:divBdr>
        <w:top w:val="none" w:sz="0" w:space="0" w:color="auto"/>
        <w:left w:val="none" w:sz="0" w:space="0" w:color="auto"/>
        <w:bottom w:val="none" w:sz="0" w:space="0" w:color="auto"/>
        <w:right w:val="none" w:sz="0" w:space="0" w:color="auto"/>
      </w:divBdr>
    </w:div>
    <w:div w:id="575671898">
      <w:bodyDiv w:val="1"/>
      <w:marLeft w:val="0"/>
      <w:marRight w:val="0"/>
      <w:marTop w:val="0"/>
      <w:marBottom w:val="0"/>
      <w:divBdr>
        <w:top w:val="none" w:sz="0" w:space="0" w:color="auto"/>
        <w:left w:val="none" w:sz="0" w:space="0" w:color="auto"/>
        <w:bottom w:val="none" w:sz="0" w:space="0" w:color="auto"/>
        <w:right w:val="none" w:sz="0" w:space="0" w:color="auto"/>
      </w:divBdr>
    </w:div>
    <w:div w:id="983004341">
      <w:bodyDiv w:val="1"/>
      <w:marLeft w:val="0"/>
      <w:marRight w:val="0"/>
      <w:marTop w:val="0"/>
      <w:marBottom w:val="0"/>
      <w:divBdr>
        <w:top w:val="none" w:sz="0" w:space="0" w:color="auto"/>
        <w:left w:val="none" w:sz="0" w:space="0" w:color="auto"/>
        <w:bottom w:val="none" w:sz="0" w:space="0" w:color="auto"/>
        <w:right w:val="none" w:sz="0" w:space="0" w:color="auto"/>
      </w:divBdr>
    </w:div>
    <w:div w:id="1135216085">
      <w:bodyDiv w:val="1"/>
      <w:marLeft w:val="0"/>
      <w:marRight w:val="0"/>
      <w:marTop w:val="0"/>
      <w:marBottom w:val="0"/>
      <w:divBdr>
        <w:top w:val="none" w:sz="0" w:space="0" w:color="auto"/>
        <w:left w:val="none" w:sz="0" w:space="0" w:color="auto"/>
        <w:bottom w:val="none" w:sz="0" w:space="0" w:color="auto"/>
        <w:right w:val="none" w:sz="0" w:space="0" w:color="auto"/>
      </w:divBdr>
    </w:div>
    <w:div w:id="1179349621">
      <w:bodyDiv w:val="1"/>
      <w:marLeft w:val="0"/>
      <w:marRight w:val="0"/>
      <w:marTop w:val="0"/>
      <w:marBottom w:val="0"/>
      <w:divBdr>
        <w:top w:val="none" w:sz="0" w:space="0" w:color="auto"/>
        <w:left w:val="none" w:sz="0" w:space="0" w:color="auto"/>
        <w:bottom w:val="none" w:sz="0" w:space="0" w:color="auto"/>
        <w:right w:val="none" w:sz="0" w:space="0" w:color="auto"/>
      </w:divBdr>
    </w:div>
    <w:div w:id="1380546990">
      <w:bodyDiv w:val="1"/>
      <w:marLeft w:val="0"/>
      <w:marRight w:val="0"/>
      <w:marTop w:val="0"/>
      <w:marBottom w:val="0"/>
      <w:divBdr>
        <w:top w:val="none" w:sz="0" w:space="0" w:color="auto"/>
        <w:left w:val="none" w:sz="0" w:space="0" w:color="auto"/>
        <w:bottom w:val="none" w:sz="0" w:space="0" w:color="auto"/>
        <w:right w:val="none" w:sz="0" w:space="0" w:color="auto"/>
      </w:divBdr>
    </w:div>
    <w:div w:id="183456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énéral"/>
          <w:gallery w:val="placeholder"/>
        </w:category>
        <w:types>
          <w:type w:val="bbPlcHdr"/>
        </w:types>
        <w:behaviors>
          <w:behavior w:val="content"/>
        </w:behaviors>
        <w:guid w:val="{5447FCCE-7EC4-42C8-9E32-C695DEB0E2F5}"/>
      </w:docPartPr>
      <w:docPartBody>
        <w:p w:rsidR="008624D3" w:rsidRDefault="009D2B51">
          <w:r w:rsidRPr="00B83B06">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B51"/>
    <w:rsid w:val="00292995"/>
    <w:rsid w:val="00461B3A"/>
    <w:rsid w:val="004A0CE2"/>
    <w:rsid w:val="00600894"/>
    <w:rsid w:val="006A25DD"/>
    <w:rsid w:val="0070219A"/>
    <w:rsid w:val="007D6325"/>
    <w:rsid w:val="007F6977"/>
    <w:rsid w:val="008624D3"/>
    <w:rsid w:val="00880E1B"/>
    <w:rsid w:val="008E0070"/>
    <w:rsid w:val="009B4F8E"/>
    <w:rsid w:val="009C782F"/>
    <w:rsid w:val="009D2B51"/>
    <w:rsid w:val="00A12EAD"/>
    <w:rsid w:val="00BC1AB3"/>
    <w:rsid w:val="00CF0536"/>
    <w:rsid w:val="00D52621"/>
    <w:rsid w:val="00E21CF5"/>
    <w:rsid w:val="00E84E5F"/>
    <w:rsid w:val="00E85F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1B3A"/>
    <w:rPr>
      <w:color w:val="808080"/>
    </w:rPr>
  </w:style>
  <w:style w:type="paragraph" w:customStyle="1" w:styleId="CEA410389C90469D9D3A0C7915724A3B">
    <w:name w:val="CEA410389C90469D9D3A0C7915724A3B"/>
    <w:rsid w:val="00880E1B"/>
  </w:style>
  <w:style w:type="paragraph" w:customStyle="1" w:styleId="6F24F8FCD845437EA37ECB44210A360A">
    <w:name w:val="6F24F8FCD845437EA37ECB44210A360A"/>
    <w:rsid w:val="00880E1B"/>
  </w:style>
  <w:style w:type="paragraph" w:customStyle="1" w:styleId="7676042371FC4A6ABE75130C61FA1E34">
    <w:name w:val="7676042371FC4A6ABE75130C61FA1E34"/>
    <w:rsid w:val="00880E1B"/>
  </w:style>
  <w:style w:type="paragraph" w:customStyle="1" w:styleId="80ACF9006A2C4E7DAB5ACAEC71027487">
    <w:name w:val="80ACF9006A2C4E7DAB5ACAEC71027487"/>
    <w:rsid w:val="00461B3A"/>
  </w:style>
  <w:style w:type="paragraph" w:customStyle="1" w:styleId="98189D642BE94A56A1B5D27F40558277">
    <w:name w:val="98189D642BE94A56A1B5D27F40558277"/>
    <w:rsid w:val="00461B3A"/>
  </w:style>
  <w:style w:type="paragraph" w:customStyle="1" w:styleId="86A6216FE90244D8AD8EF54FC6093150">
    <w:name w:val="86A6216FE90244D8AD8EF54FC6093150"/>
    <w:rsid w:val="00461B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055E0-5808-4224-B936-F68E0C937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1133</Words>
  <Characters>6237</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MAS</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PETR</cp:lastModifiedBy>
  <cp:revision>19</cp:revision>
  <cp:lastPrinted>2019-09-16T13:02:00Z</cp:lastPrinted>
  <dcterms:created xsi:type="dcterms:W3CDTF">2025-03-12T16:18:00Z</dcterms:created>
  <dcterms:modified xsi:type="dcterms:W3CDTF">2025-04-25T12:53:00Z</dcterms:modified>
</cp:coreProperties>
</file>