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14:paraId="5E73BF43" w14:textId="77777777" w:rsidTr="00A95222">
        <w:trPr>
          <w:trHeight w:val="641"/>
          <w:jc w:val="center"/>
        </w:trPr>
        <w:tc>
          <w:tcPr>
            <w:tcW w:w="2547" w:type="dxa"/>
            <w:tcBorders>
              <w:bottom w:val="single" w:sz="4" w:space="0" w:color="auto"/>
            </w:tcBorders>
            <w:shd w:val="clear" w:color="auto" w:fill="FFFFFF" w:themeFill="background1"/>
            <w:vAlign w:val="center"/>
          </w:tcPr>
          <w:p w14:paraId="7C6A3B27" w14:textId="0BA01ACD" w:rsidR="00DC5BF0" w:rsidRPr="00EE1636" w:rsidRDefault="00B3589D" w:rsidP="00D9224D">
            <w:r w:rsidRPr="00EE1636">
              <w:t>Action</w:t>
            </w:r>
            <w:r w:rsidR="001F3366" w:rsidRPr="00EE1636">
              <w:t xml:space="preserve"> </w:t>
            </w:r>
            <w:r w:rsidR="00D9224D">
              <w:t>n°</w:t>
            </w:r>
            <w:r w:rsidR="00E8090B">
              <w:t>15</w:t>
            </w:r>
          </w:p>
        </w:tc>
        <w:tc>
          <w:tcPr>
            <w:tcW w:w="6973" w:type="dxa"/>
            <w:gridSpan w:val="4"/>
            <w:tcBorders>
              <w:bottom w:val="single" w:sz="4" w:space="0" w:color="auto"/>
            </w:tcBorders>
            <w:shd w:val="clear" w:color="auto" w:fill="FFFFFF" w:themeFill="background1"/>
            <w:vAlign w:val="center"/>
          </w:tcPr>
          <w:p w14:paraId="126C43DA" w14:textId="01B59C0D" w:rsidR="00F029E3" w:rsidRPr="00BA59FE" w:rsidRDefault="006D18EC" w:rsidP="006D18EC">
            <w:pPr>
              <w:jc w:val="center"/>
              <w:rPr>
                <w:rFonts w:ascii="Helvetica" w:hAnsi="Helvetica" w:cs="Helvetica"/>
                <w:b/>
                <w:color w:val="000000"/>
                <w:shd w:val="clear" w:color="auto" w:fill="FFFFFF"/>
              </w:rPr>
            </w:pPr>
            <w:r>
              <w:rPr>
                <w:rFonts w:ascii="Helvetica" w:hAnsi="Helvetica" w:cs="Helvetica"/>
                <w:b/>
                <w:color w:val="000000"/>
                <w:shd w:val="clear" w:color="auto" w:fill="FFFFFF"/>
              </w:rPr>
              <w:t>Annuaire des ac</w:t>
            </w:r>
            <w:r w:rsidR="00D5688F">
              <w:rPr>
                <w:rFonts w:ascii="Helvetica" w:hAnsi="Helvetica" w:cs="Helvetica"/>
                <w:b/>
                <w:color w:val="000000"/>
                <w:shd w:val="clear" w:color="auto" w:fill="FFFFFF"/>
              </w:rPr>
              <w:t xml:space="preserve">tions et des acteurs </w:t>
            </w:r>
          </w:p>
        </w:tc>
      </w:tr>
      <w:tr w:rsidR="00BA67BA" w:rsidRPr="00697F84" w14:paraId="074A41EB" w14:textId="77777777" w:rsidTr="00EE1636">
        <w:trPr>
          <w:jc w:val="center"/>
        </w:trPr>
        <w:tc>
          <w:tcPr>
            <w:tcW w:w="2547" w:type="dxa"/>
            <w:tcBorders>
              <w:left w:val="nil"/>
              <w:right w:val="nil"/>
            </w:tcBorders>
            <w:shd w:val="clear" w:color="auto" w:fill="FFFFFF" w:themeFill="background1"/>
            <w:vAlign w:val="center"/>
          </w:tcPr>
          <w:p w14:paraId="197D489B" w14:textId="77777777" w:rsidR="00BA67BA" w:rsidRPr="00697F84" w:rsidRDefault="00BA67BA" w:rsidP="00BA67BA">
            <w:pPr>
              <w:rPr>
                <w:rFonts w:ascii="Arial" w:hAnsi="Arial" w:cs="Arial"/>
                <w:b/>
                <w:sz w:val="20"/>
                <w:szCs w:val="20"/>
              </w:rPr>
            </w:pPr>
          </w:p>
        </w:tc>
        <w:tc>
          <w:tcPr>
            <w:tcW w:w="6973" w:type="dxa"/>
            <w:gridSpan w:val="4"/>
            <w:tcBorders>
              <w:left w:val="nil"/>
              <w:right w:val="nil"/>
            </w:tcBorders>
          </w:tcPr>
          <w:p w14:paraId="76571EEC" w14:textId="77777777" w:rsidR="00BA67BA" w:rsidRPr="00697F84" w:rsidRDefault="00BA67BA" w:rsidP="003C7858">
            <w:pPr>
              <w:jc w:val="both"/>
              <w:rPr>
                <w:rFonts w:ascii="Arial" w:hAnsi="Arial" w:cs="Arial"/>
                <w:noProof/>
                <w:sz w:val="20"/>
                <w:szCs w:val="20"/>
              </w:rPr>
            </w:pPr>
          </w:p>
        </w:tc>
      </w:tr>
      <w:tr w:rsidR="00354DE9" w:rsidRPr="00354DE9" w14:paraId="38549EAC" w14:textId="77777777" w:rsidTr="00EE1636">
        <w:trPr>
          <w:trHeight w:val="487"/>
          <w:jc w:val="center"/>
        </w:trPr>
        <w:tc>
          <w:tcPr>
            <w:tcW w:w="2547" w:type="dxa"/>
            <w:shd w:val="clear" w:color="auto" w:fill="FFFFFF" w:themeFill="background1"/>
            <w:vAlign w:val="center"/>
          </w:tcPr>
          <w:p w14:paraId="46CF835A" w14:textId="77777777"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14:paraId="21EEE944" w14:textId="77777777"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14:paraId="657799D0" w14:textId="77777777"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14:paraId="49B5C1D2" w14:textId="77777777" w:rsidTr="00996C61">
        <w:trPr>
          <w:trHeight w:val="323"/>
          <w:jc w:val="center"/>
        </w:trPr>
        <w:tc>
          <w:tcPr>
            <w:tcW w:w="2547" w:type="dxa"/>
            <w:vMerge w:val="restart"/>
            <w:shd w:val="clear" w:color="auto" w:fill="auto"/>
            <w:vAlign w:val="center"/>
          </w:tcPr>
          <w:p w14:paraId="21580BB8" w14:textId="77777777"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14:paraId="49C66683" w14:textId="77777777"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14:paraId="5B57932B" w14:textId="221FC4E0" w:rsidR="008B1140" w:rsidRPr="00CB1869" w:rsidRDefault="00DE312D" w:rsidP="0091435A">
            <w:pPr>
              <w:rPr>
                <w:rFonts w:ascii="Arial" w:hAnsi="Arial" w:cs="Arial"/>
                <w:i/>
                <w:sz w:val="20"/>
                <w:szCs w:val="20"/>
              </w:rPr>
            </w:pPr>
            <w:r>
              <w:rPr>
                <w:rFonts w:ascii="Arial" w:hAnsi="Arial" w:cs="Arial"/>
                <w:i/>
                <w:sz w:val="20"/>
                <w:szCs w:val="20"/>
              </w:rPr>
              <w:t>PETR</w:t>
            </w:r>
          </w:p>
        </w:tc>
      </w:tr>
      <w:tr w:rsidR="00CE2A16" w:rsidRPr="00354DE9" w14:paraId="5104F1AD" w14:textId="77777777" w:rsidTr="00996C61">
        <w:trPr>
          <w:trHeight w:val="322"/>
          <w:jc w:val="center"/>
        </w:trPr>
        <w:tc>
          <w:tcPr>
            <w:tcW w:w="2547" w:type="dxa"/>
            <w:vMerge/>
            <w:shd w:val="clear" w:color="auto" w:fill="auto"/>
            <w:vAlign w:val="center"/>
          </w:tcPr>
          <w:p w14:paraId="5CD97007" w14:textId="77777777" w:rsidR="00CE2A16" w:rsidRPr="00354DE9" w:rsidRDefault="00CE2A16" w:rsidP="00BA59FE">
            <w:pPr>
              <w:rPr>
                <w:rFonts w:ascii="Arial" w:hAnsi="Arial" w:cs="Arial"/>
                <w:b/>
                <w:sz w:val="20"/>
                <w:szCs w:val="20"/>
              </w:rPr>
            </w:pPr>
          </w:p>
        </w:tc>
        <w:tc>
          <w:tcPr>
            <w:tcW w:w="1701" w:type="dxa"/>
            <w:shd w:val="clear" w:color="auto" w:fill="auto"/>
            <w:vAlign w:val="center"/>
          </w:tcPr>
          <w:p w14:paraId="1CAB951C" w14:textId="77777777"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14:paraId="7D842178" w14:textId="6B741278" w:rsidR="00CE2A16" w:rsidRPr="00CB1869" w:rsidRDefault="00DE312D" w:rsidP="00CB1869">
            <w:pPr>
              <w:rPr>
                <w:rFonts w:ascii="Arial" w:hAnsi="Arial" w:cs="Arial"/>
                <w:i/>
                <w:sz w:val="20"/>
                <w:szCs w:val="20"/>
              </w:rPr>
            </w:pPr>
            <w:r>
              <w:rPr>
                <w:rFonts w:ascii="Arial" w:hAnsi="Arial" w:cs="Arial"/>
                <w:i/>
                <w:sz w:val="20"/>
                <w:szCs w:val="20"/>
              </w:rPr>
              <w:t>C</w:t>
            </w:r>
            <w:r w:rsidR="00FC1D9D">
              <w:rPr>
                <w:rFonts w:ascii="Arial" w:hAnsi="Arial" w:cs="Arial"/>
                <w:i/>
                <w:sz w:val="20"/>
                <w:szCs w:val="20"/>
              </w:rPr>
              <w:t xml:space="preserve">hargée de </w:t>
            </w:r>
            <w:proofErr w:type="spellStart"/>
            <w:r w:rsidR="00FC1D9D">
              <w:rPr>
                <w:rFonts w:ascii="Arial" w:hAnsi="Arial" w:cs="Arial"/>
                <w:i/>
                <w:sz w:val="20"/>
                <w:szCs w:val="20"/>
              </w:rPr>
              <w:t>misson</w:t>
            </w:r>
            <w:proofErr w:type="spellEnd"/>
            <w:r>
              <w:rPr>
                <w:rFonts w:ascii="Arial" w:hAnsi="Arial" w:cs="Arial"/>
                <w:i/>
                <w:sz w:val="20"/>
                <w:szCs w:val="20"/>
              </w:rPr>
              <w:t xml:space="preserve"> santé</w:t>
            </w:r>
          </w:p>
        </w:tc>
      </w:tr>
      <w:tr w:rsidR="00354DE9" w:rsidRPr="00354DE9" w14:paraId="44BDC592" w14:textId="77777777" w:rsidTr="00C55AAD">
        <w:trPr>
          <w:trHeight w:val="324"/>
          <w:jc w:val="center"/>
        </w:trPr>
        <w:tc>
          <w:tcPr>
            <w:tcW w:w="2547" w:type="dxa"/>
            <w:shd w:val="clear" w:color="auto" w:fill="FFFFFF" w:themeFill="background1"/>
            <w:vAlign w:val="center"/>
          </w:tcPr>
          <w:p w14:paraId="6F4D9530" w14:textId="77777777" w:rsidR="0057104E" w:rsidRPr="00354DE9" w:rsidRDefault="0057104E" w:rsidP="00BA59FE">
            <w:pPr>
              <w:rPr>
                <w:rFonts w:ascii="Arial" w:hAnsi="Arial" w:cs="Arial"/>
                <w:b/>
                <w:sz w:val="20"/>
                <w:szCs w:val="20"/>
              </w:rPr>
            </w:pPr>
            <w:bookmarkStart w:id="1" w:name="_GoBack"/>
            <w:bookmarkEnd w:id="1"/>
            <w:r w:rsidRPr="00354DE9">
              <w:rPr>
                <w:rFonts w:ascii="Arial" w:hAnsi="Arial" w:cs="Arial"/>
                <w:b/>
                <w:sz w:val="20"/>
                <w:szCs w:val="20"/>
              </w:rPr>
              <w:t>Axe stratégique du CLS</w:t>
            </w:r>
          </w:p>
        </w:tc>
        <w:tc>
          <w:tcPr>
            <w:tcW w:w="6973" w:type="dxa"/>
            <w:gridSpan w:val="4"/>
            <w:vAlign w:val="center"/>
          </w:tcPr>
          <w:p w14:paraId="0E6145C1" w14:textId="4A0A6D40" w:rsidR="0057104E" w:rsidRPr="00F743EE" w:rsidRDefault="00A07F53" w:rsidP="00D9224D">
            <w:pPr>
              <w:rPr>
                <w:rFonts w:ascii="Arial" w:hAnsi="Arial" w:cs="Arial"/>
                <w:b/>
                <w:bCs/>
                <w:sz w:val="20"/>
                <w:szCs w:val="20"/>
              </w:rPr>
            </w:pPr>
            <w:r w:rsidRPr="00A07F53">
              <w:rPr>
                <w:rFonts w:ascii="Arial" w:hAnsi="Arial" w:cs="Arial"/>
                <w:b/>
                <w:bCs/>
                <w:sz w:val="20"/>
                <w:szCs w:val="20"/>
              </w:rPr>
              <w:t>Axe 3</w:t>
            </w:r>
            <w:proofErr w:type="gramStart"/>
            <w:r w:rsidRPr="00A07F53">
              <w:rPr>
                <w:rFonts w:ascii="Arial" w:hAnsi="Arial" w:cs="Arial"/>
                <w:b/>
                <w:bCs/>
                <w:sz w:val="20"/>
                <w:szCs w:val="20"/>
              </w:rPr>
              <w:t> :Faciliter</w:t>
            </w:r>
            <w:proofErr w:type="gramEnd"/>
            <w:r w:rsidRPr="00A07F53">
              <w:rPr>
                <w:rFonts w:ascii="Arial" w:hAnsi="Arial" w:cs="Arial"/>
                <w:b/>
                <w:bCs/>
                <w:sz w:val="20"/>
                <w:szCs w:val="20"/>
              </w:rPr>
              <w:t xml:space="preserve"> l’accessibilité des soins et l’attractivité des métiers</w:t>
            </w:r>
          </w:p>
        </w:tc>
      </w:tr>
      <w:tr w:rsidR="00354DE9" w:rsidRPr="00354DE9" w14:paraId="1BC45F54" w14:textId="77777777" w:rsidTr="00C55AAD">
        <w:trPr>
          <w:trHeight w:val="600"/>
          <w:jc w:val="center"/>
        </w:trPr>
        <w:tc>
          <w:tcPr>
            <w:tcW w:w="2547" w:type="dxa"/>
            <w:shd w:val="clear" w:color="auto" w:fill="FFFFFF" w:themeFill="background1"/>
            <w:vAlign w:val="center"/>
          </w:tcPr>
          <w:p w14:paraId="3F513E51" w14:textId="77777777"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14:paraId="376CEABE" w14:textId="77777777" w:rsidR="00AE0A60" w:rsidRDefault="000963C9" w:rsidP="00AE0A60">
            <w:pPr>
              <w:jc w:val="both"/>
              <w:rPr>
                <w:rFonts w:ascii="Arial" w:hAnsi="Arial" w:cs="Arial"/>
                <w:sz w:val="20"/>
                <w:szCs w:val="20"/>
              </w:rPr>
            </w:pPr>
            <w:r>
              <w:rPr>
                <w:rFonts w:ascii="Arial" w:hAnsi="Arial" w:cs="Arial"/>
                <w:sz w:val="20"/>
                <w:szCs w:val="20"/>
              </w:rPr>
              <w:t xml:space="preserve">Le </w:t>
            </w:r>
            <w:r w:rsidR="005E6D49">
              <w:rPr>
                <w:rFonts w:ascii="Arial" w:hAnsi="Arial" w:cs="Arial"/>
                <w:sz w:val="20"/>
                <w:szCs w:val="20"/>
              </w:rPr>
              <w:t>D</w:t>
            </w:r>
            <w:r>
              <w:rPr>
                <w:rFonts w:ascii="Arial" w:hAnsi="Arial" w:cs="Arial"/>
                <w:sz w:val="20"/>
                <w:szCs w:val="20"/>
              </w:rPr>
              <w:t xml:space="preserve">iagnostic Local de Santé </w:t>
            </w:r>
            <w:r w:rsidR="005E6D49">
              <w:rPr>
                <w:rFonts w:ascii="Arial" w:hAnsi="Arial" w:cs="Arial"/>
                <w:sz w:val="20"/>
                <w:szCs w:val="20"/>
              </w:rPr>
              <w:t xml:space="preserve">a permis de mettre en avant plusieurs éléments : </w:t>
            </w:r>
          </w:p>
          <w:p w14:paraId="614FABFF" w14:textId="77777777" w:rsidR="005E6D49" w:rsidRDefault="005E6D49" w:rsidP="005E6D49">
            <w:pPr>
              <w:pStyle w:val="Paragraphedeliste"/>
              <w:numPr>
                <w:ilvl w:val="0"/>
                <w:numId w:val="13"/>
              </w:numPr>
              <w:jc w:val="both"/>
              <w:rPr>
                <w:rFonts w:ascii="Arial" w:hAnsi="Arial" w:cs="Arial"/>
                <w:sz w:val="20"/>
                <w:szCs w:val="20"/>
              </w:rPr>
            </w:pPr>
            <w:r>
              <w:rPr>
                <w:rFonts w:ascii="Arial" w:hAnsi="Arial" w:cs="Arial"/>
                <w:sz w:val="20"/>
                <w:szCs w:val="20"/>
              </w:rPr>
              <w:t>Le manque de lisibilité de l’offre tant pour les habitants que pour les professionnels du territoire</w:t>
            </w:r>
          </w:p>
          <w:p w14:paraId="38C98484" w14:textId="7AD42A42" w:rsidR="005E6D49" w:rsidRDefault="00197FAF" w:rsidP="005E6D49">
            <w:pPr>
              <w:pStyle w:val="Paragraphedeliste"/>
              <w:numPr>
                <w:ilvl w:val="0"/>
                <w:numId w:val="13"/>
              </w:numPr>
              <w:jc w:val="both"/>
              <w:rPr>
                <w:rFonts w:ascii="Arial" w:hAnsi="Arial" w:cs="Arial"/>
                <w:sz w:val="20"/>
                <w:szCs w:val="20"/>
              </w:rPr>
            </w:pPr>
            <w:r>
              <w:rPr>
                <w:rFonts w:ascii="Arial" w:hAnsi="Arial" w:cs="Arial"/>
                <w:sz w:val="20"/>
                <w:szCs w:val="20"/>
              </w:rPr>
              <w:t xml:space="preserve">Le besoin de rencontre régulière </w:t>
            </w:r>
            <w:r w:rsidR="00CB1D78">
              <w:rPr>
                <w:rFonts w:ascii="Arial" w:hAnsi="Arial" w:cs="Arial"/>
                <w:sz w:val="20"/>
                <w:szCs w:val="20"/>
              </w:rPr>
              <w:t xml:space="preserve">des partenaires </w:t>
            </w:r>
            <w:r w:rsidR="0098266B">
              <w:rPr>
                <w:rFonts w:ascii="Arial" w:hAnsi="Arial" w:cs="Arial"/>
                <w:sz w:val="20"/>
                <w:szCs w:val="20"/>
              </w:rPr>
              <w:t xml:space="preserve">autour de thématique commune. </w:t>
            </w:r>
          </w:p>
          <w:p w14:paraId="38662249" w14:textId="72E75D9C" w:rsidR="0098266B" w:rsidRDefault="0098266B" w:rsidP="0098266B">
            <w:pPr>
              <w:jc w:val="both"/>
              <w:rPr>
                <w:rFonts w:ascii="Arial" w:hAnsi="Arial" w:cs="Arial"/>
                <w:sz w:val="20"/>
                <w:szCs w:val="20"/>
              </w:rPr>
            </w:pPr>
          </w:p>
          <w:p w14:paraId="30FF2155" w14:textId="2ECC5003" w:rsidR="0098266B" w:rsidRDefault="0098266B" w:rsidP="0098266B">
            <w:pPr>
              <w:jc w:val="both"/>
              <w:rPr>
                <w:rFonts w:ascii="Arial" w:hAnsi="Arial" w:cs="Arial"/>
                <w:sz w:val="20"/>
                <w:szCs w:val="20"/>
              </w:rPr>
            </w:pPr>
            <w:r>
              <w:rPr>
                <w:rFonts w:ascii="Arial" w:hAnsi="Arial" w:cs="Arial"/>
                <w:sz w:val="20"/>
                <w:szCs w:val="20"/>
              </w:rPr>
              <w:t xml:space="preserve">La communication sur l’offre du territoire est un enjeu essentiel notamment dans le cadre d’un contrat local de santé. </w:t>
            </w:r>
          </w:p>
          <w:p w14:paraId="6F263C55" w14:textId="2C23A643" w:rsidR="0098266B" w:rsidRDefault="0098266B" w:rsidP="0098266B">
            <w:pPr>
              <w:jc w:val="both"/>
              <w:rPr>
                <w:rFonts w:ascii="Arial" w:hAnsi="Arial" w:cs="Arial"/>
                <w:sz w:val="20"/>
                <w:szCs w:val="20"/>
              </w:rPr>
            </w:pPr>
            <w:r>
              <w:rPr>
                <w:rFonts w:ascii="Arial" w:hAnsi="Arial" w:cs="Arial"/>
                <w:sz w:val="20"/>
                <w:szCs w:val="20"/>
              </w:rPr>
              <w:t xml:space="preserve">La communication envers les différents publics : habitants, élus, acteurs de la santé </w:t>
            </w:r>
            <w:proofErr w:type="spellStart"/>
            <w:r>
              <w:rPr>
                <w:rFonts w:ascii="Arial" w:hAnsi="Arial" w:cs="Arial"/>
                <w:sz w:val="20"/>
                <w:szCs w:val="20"/>
              </w:rPr>
              <w:t>rdoit</w:t>
            </w:r>
            <w:proofErr w:type="spellEnd"/>
            <w:r>
              <w:rPr>
                <w:rFonts w:ascii="Arial" w:hAnsi="Arial" w:cs="Arial"/>
                <w:sz w:val="20"/>
                <w:szCs w:val="20"/>
              </w:rPr>
              <w:t xml:space="preserve"> être travaillé dans son ensemble afin d’assurer une lisibilité et une cohérence de l’offre. </w:t>
            </w:r>
          </w:p>
          <w:p w14:paraId="6EAE25AA" w14:textId="435DAA30" w:rsidR="0098266B" w:rsidRPr="0098266B" w:rsidRDefault="0098266B" w:rsidP="0098266B">
            <w:pPr>
              <w:jc w:val="both"/>
              <w:rPr>
                <w:rFonts w:ascii="Arial" w:hAnsi="Arial" w:cs="Arial"/>
                <w:sz w:val="20"/>
                <w:szCs w:val="20"/>
              </w:rPr>
            </w:pPr>
            <w:r>
              <w:rPr>
                <w:rFonts w:ascii="Arial" w:hAnsi="Arial" w:cs="Arial"/>
                <w:sz w:val="20"/>
                <w:szCs w:val="20"/>
              </w:rPr>
              <w:t xml:space="preserve">Un outil a été mis en place lors du premier CLS afin de répondre à ces enjeux, cependant l’outil reste largement sous utilisé et </w:t>
            </w:r>
            <w:proofErr w:type="spellStart"/>
            <w:r>
              <w:rPr>
                <w:rFonts w:ascii="Arial" w:hAnsi="Arial" w:cs="Arial"/>
                <w:sz w:val="20"/>
                <w:szCs w:val="20"/>
              </w:rPr>
              <w:t>meriterait</w:t>
            </w:r>
            <w:proofErr w:type="spellEnd"/>
            <w:r>
              <w:rPr>
                <w:rFonts w:ascii="Arial" w:hAnsi="Arial" w:cs="Arial"/>
                <w:sz w:val="20"/>
                <w:szCs w:val="20"/>
              </w:rPr>
              <w:t xml:space="preserve"> une mise à jour des fonctions et un</w:t>
            </w:r>
            <w:r w:rsidR="0099721B">
              <w:rPr>
                <w:rFonts w:ascii="Arial" w:hAnsi="Arial" w:cs="Arial"/>
                <w:sz w:val="20"/>
                <w:szCs w:val="20"/>
              </w:rPr>
              <w:t>e</w:t>
            </w:r>
            <w:r>
              <w:rPr>
                <w:rFonts w:ascii="Arial" w:hAnsi="Arial" w:cs="Arial"/>
                <w:sz w:val="20"/>
                <w:szCs w:val="20"/>
              </w:rPr>
              <w:t xml:space="preserve"> animation </w:t>
            </w:r>
            <w:r w:rsidR="0099721B">
              <w:rPr>
                <w:rFonts w:ascii="Arial" w:hAnsi="Arial" w:cs="Arial"/>
                <w:sz w:val="20"/>
                <w:szCs w:val="20"/>
              </w:rPr>
              <w:t xml:space="preserve">accrue </w:t>
            </w:r>
            <w:r>
              <w:rPr>
                <w:rFonts w:ascii="Arial" w:hAnsi="Arial" w:cs="Arial"/>
                <w:sz w:val="20"/>
                <w:szCs w:val="20"/>
              </w:rPr>
              <w:t xml:space="preserve">de l’outil. </w:t>
            </w:r>
          </w:p>
          <w:p w14:paraId="2AD07FD2" w14:textId="048D38D2" w:rsidR="00197FAF" w:rsidRPr="00CB1D78" w:rsidRDefault="00197FAF" w:rsidP="00CB1D78">
            <w:pPr>
              <w:ind w:left="360"/>
              <w:jc w:val="both"/>
              <w:rPr>
                <w:rFonts w:ascii="Arial" w:hAnsi="Arial" w:cs="Arial"/>
                <w:sz w:val="20"/>
                <w:szCs w:val="20"/>
              </w:rPr>
            </w:pPr>
          </w:p>
        </w:tc>
      </w:tr>
      <w:tr w:rsidR="00354DE9" w:rsidRPr="00354DE9" w14:paraId="3F18ACD3" w14:textId="77777777" w:rsidTr="00EE1636">
        <w:trPr>
          <w:trHeight w:val="681"/>
          <w:jc w:val="center"/>
        </w:trPr>
        <w:tc>
          <w:tcPr>
            <w:tcW w:w="2547" w:type="dxa"/>
            <w:shd w:val="clear" w:color="auto" w:fill="FFFFFF" w:themeFill="background1"/>
            <w:vAlign w:val="center"/>
          </w:tcPr>
          <w:p w14:paraId="5789CA4B" w14:textId="77777777"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14:paraId="5C22829A" w14:textId="77777777" w:rsidR="005B3191"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14:paraId="32F9223E"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14:paraId="1AA36544"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14:paraId="097092C9" w14:textId="77777777"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14:paraId="3EBBDB86" w14:textId="77777777"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14:paraId="47E1677D" w14:textId="4C9B9680" w:rsidR="00E22823" w:rsidRDefault="00896FBA"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14:paraId="2D4C0F03" w14:textId="77777777"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14:paraId="59E8AF72" w14:textId="77777777"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14:paraId="4E9F7B95" w14:textId="77777777"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14:paraId="5754F4CB" w14:textId="77777777"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14:paraId="713FFEA3" w14:textId="77777777" w:rsidR="00867184" w:rsidRPr="00E92D2D" w:rsidRDefault="00867184" w:rsidP="00BD6522">
            <w:pPr>
              <w:rPr>
                <w:rFonts w:ascii="Arial" w:hAnsi="Arial" w:cs="Arial"/>
                <w:sz w:val="20"/>
                <w:szCs w:val="20"/>
              </w:rPr>
            </w:pPr>
          </w:p>
        </w:tc>
      </w:tr>
      <w:tr w:rsidR="009B2256" w:rsidRPr="00354DE9" w14:paraId="2C8918FA" w14:textId="77777777" w:rsidTr="00EE1636">
        <w:trPr>
          <w:trHeight w:val="681"/>
          <w:jc w:val="center"/>
        </w:trPr>
        <w:tc>
          <w:tcPr>
            <w:tcW w:w="2547" w:type="dxa"/>
            <w:shd w:val="clear" w:color="auto" w:fill="FFFFFF" w:themeFill="background1"/>
            <w:vAlign w:val="center"/>
          </w:tcPr>
          <w:p w14:paraId="30AAED00" w14:textId="77777777"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14:paraId="2852E461"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14:paraId="0F102CBE"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14:paraId="7A911DC8"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Health </w:t>
            </w:r>
          </w:p>
          <w:p w14:paraId="2C307AAB" w14:textId="77777777" w:rsidR="005E0E8C" w:rsidRDefault="005E0E8C"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14:paraId="5ADEB315" w14:textId="6D650112" w:rsidR="00880675" w:rsidRDefault="00BD60DE"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14:paraId="65717E06" w14:textId="77777777" w:rsidTr="00EE1636">
        <w:trPr>
          <w:jc w:val="center"/>
        </w:trPr>
        <w:tc>
          <w:tcPr>
            <w:tcW w:w="2547" w:type="dxa"/>
            <w:shd w:val="clear" w:color="auto" w:fill="FFFFFF" w:themeFill="background1"/>
            <w:vAlign w:val="center"/>
          </w:tcPr>
          <w:p w14:paraId="228FFB53" w14:textId="77777777" w:rsidR="005C6B90" w:rsidRPr="00354DE9" w:rsidRDefault="005C6B90" w:rsidP="00454C16">
            <w:pPr>
              <w:rPr>
                <w:rFonts w:ascii="Arial" w:hAnsi="Arial" w:cs="Arial"/>
                <w:b/>
                <w:sz w:val="20"/>
                <w:szCs w:val="20"/>
              </w:rPr>
            </w:pPr>
            <w:r>
              <w:rPr>
                <w:rFonts w:ascii="Arial" w:hAnsi="Arial" w:cs="Arial"/>
                <w:b/>
                <w:sz w:val="20"/>
                <w:szCs w:val="20"/>
              </w:rPr>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08A96417" w14:textId="1B68266C" w:rsidR="008B1140" w:rsidRPr="00354DE9" w:rsidRDefault="006D18EC" w:rsidP="00F16670">
            <w:pPr>
              <w:rPr>
                <w:rFonts w:ascii="Arial" w:hAnsi="Arial" w:cs="Arial"/>
                <w:sz w:val="20"/>
                <w:szCs w:val="20"/>
              </w:rPr>
            </w:pPr>
            <w:r w:rsidRPr="006D18EC">
              <w:rPr>
                <w:rFonts w:ascii="Arial" w:hAnsi="Arial" w:cs="Arial"/>
                <w:sz w:val="20"/>
                <w:szCs w:val="20"/>
              </w:rPr>
              <w:t>Favoriser l’interconnaissance et la lisibilité des dispositifs existants</w:t>
            </w:r>
          </w:p>
        </w:tc>
      </w:tr>
      <w:tr w:rsidR="00354DE9" w:rsidRPr="00354DE9" w14:paraId="17D3901E" w14:textId="77777777" w:rsidTr="00EE1636">
        <w:trPr>
          <w:jc w:val="center"/>
        </w:trPr>
        <w:tc>
          <w:tcPr>
            <w:tcW w:w="2547" w:type="dxa"/>
            <w:shd w:val="clear" w:color="auto" w:fill="FFFFFF" w:themeFill="background1"/>
            <w:vAlign w:val="center"/>
          </w:tcPr>
          <w:p w14:paraId="4DFCAACF" w14:textId="77777777" w:rsidR="009507D8" w:rsidRPr="00354DE9" w:rsidRDefault="009507D8" w:rsidP="00155A3B">
            <w:pPr>
              <w:rPr>
                <w:rFonts w:ascii="Arial" w:hAnsi="Arial" w:cs="Arial"/>
                <w:b/>
                <w:sz w:val="20"/>
                <w:szCs w:val="20"/>
              </w:rPr>
            </w:pPr>
            <w:r w:rsidRPr="00354DE9">
              <w:rPr>
                <w:rFonts w:ascii="Arial" w:hAnsi="Arial" w:cs="Arial"/>
                <w:b/>
                <w:sz w:val="20"/>
                <w:szCs w:val="20"/>
              </w:rPr>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357B6E51" w14:textId="7690D87C" w:rsidR="001D5A64" w:rsidRDefault="00761D9C" w:rsidP="00BD60DE">
            <w:pPr>
              <w:pStyle w:val="Paragraphedeliste"/>
              <w:numPr>
                <w:ilvl w:val="0"/>
                <w:numId w:val="8"/>
              </w:numPr>
              <w:rPr>
                <w:rFonts w:ascii="Arial" w:hAnsi="Arial" w:cs="Arial"/>
                <w:sz w:val="20"/>
                <w:szCs w:val="20"/>
              </w:rPr>
            </w:pPr>
            <w:r w:rsidRPr="00BD60DE">
              <w:rPr>
                <w:rFonts w:ascii="Arial" w:hAnsi="Arial" w:cs="Arial"/>
                <w:sz w:val="20"/>
                <w:szCs w:val="20"/>
              </w:rPr>
              <w:t>Contribuer à la diffusion d’information relatives à la santé auprès des professionnels du territoire</w:t>
            </w:r>
          </w:p>
          <w:p w14:paraId="2DCDF161" w14:textId="77777777" w:rsidR="00BD60DE" w:rsidRPr="00BD60DE" w:rsidRDefault="00BD60DE" w:rsidP="00BD60DE">
            <w:pPr>
              <w:pStyle w:val="Paragraphedeliste"/>
              <w:rPr>
                <w:rFonts w:ascii="Arial" w:hAnsi="Arial" w:cs="Arial"/>
                <w:sz w:val="20"/>
                <w:szCs w:val="20"/>
              </w:rPr>
            </w:pPr>
          </w:p>
          <w:p w14:paraId="59B50BB9" w14:textId="71481811" w:rsidR="00761D9C" w:rsidRPr="00BD60DE" w:rsidRDefault="00761D9C" w:rsidP="00BD60DE">
            <w:pPr>
              <w:pStyle w:val="Paragraphedeliste"/>
              <w:numPr>
                <w:ilvl w:val="0"/>
                <w:numId w:val="8"/>
              </w:numPr>
              <w:rPr>
                <w:rFonts w:ascii="Arial" w:hAnsi="Arial" w:cs="Arial"/>
                <w:sz w:val="20"/>
                <w:szCs w:val="20"/>
              </w:rPr>
            </w:pPr>
            <w:r w:rsidRPr="00BD60DE">
              <w:rPr>
                <w:rFonts w:ascii="Arial" w:hAnsi="Arial" w:cs="Arial"/>
                <w:sz w:val="20"/>
                <w:szCs w:val="20"/>
              </w:rPr>
              <w:t>Contribuer à la diffusion d’informations relatives à l’offre de santé et d’accompagnement disponible dans le territoire.</w:t>
            </w:r>
          </w:p>
          <w:p w14:paraId="71319FFD" w14:textId="77FA5F89" w:rsidR="00761D9C" w:rsidRPr="00A44738" w:rsidRDefault="00761D9C" w:rsidP="00A84D22">
            <w:pPr>
              <w:rPr>
                <w:rFonts w:ascii="Arial" w:hAnsi="Arial" w:cs="Arial"/>
                <w:sz w:val="20"/>
                <w:szCs w:val="20"/>
              </w:rPr>
            </w:pPr>
          </w:p>
        </w:tc>
      </w:tr>
      <w:tr w:rsidR="00354DE9" w:rsidRPr="00354DE9" w14:paraId="3B1806B2" w14:textId="77777777" w:rsidTr="00EE1636">
        <w:trPr>
          <w:trHeight w:val="28"/>
          <w:jc w:val="center"/>
        </w:trPr>
        <w:tc>
          <w:tcPr>
            <w:tcW w:w="2547" w:type="dxa"/>
            <w:shd w:val="clear" w:color="auto" w:fill="FFFFFF" w:themeFill="background1"/>
            <w:vAlign w:val="center"/>
          </w:tcPr>
          <w:p w14:paraId="2A4C9542" w14:textId="77777777"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14:paraId="51F75142" w14:textId="07F8F048" w:rsidR="00A44738" w:rsidRDefault="00BD60DE" w:rsidP="00A84D22">
            <w:pPr>
              <w:rPr>
                <w:rFonts w:ascii="Arial" w:hAnsi="Arial" w:cs="Arial"/>
                <w:sz w:val="20"/>
                <w:szCs w:val="20"/>
              </w:rPr>
            </w:pPr>
            <w:proofErr w:type="gramStart"/>
            <w:r>
              <w:rPr>
                <w:rFonts w:ascii="Arial" w:hAnsi="Arial" w:cs="Arial"/>
                <w:sz w:val="20"/>
                <w:szCs w:val="20"/>
              </w:rPr>
              <w:t>1.A .</w:t>
            </w:r>
            <w:proofErr w:type="gramEnd"/>
            <w:r>
              <w:rPr>
                <w:rFonts w:ascii="Arial" w:hAnsi="Arial" w:cs="Arial"/>
                <w:sz w:val="20"/>
                <w:szCs w:val="20"/>
              </w:rPr>
              <w:t xml:space="preserve"> </w:t>
            </w:r>
            <w:r w:rsidR="00761D9C">
              <w:rPr>
                <w:rFonts w:ascii="Arial" w:hAnsi="Arial" w:cs="Arial"/>
                <w:sz w:val="20"/>
                <w:szCs w:val="20"/>
              </w:rPr>
              <w:t>Mettre en place un réseau des acteurs – professionnels de santé, du social, agent d’accueil communal….</w:t>
            </w:r>
          </w:p>
          <w:p w14:paraId="6C87F879" w14:textId="78D5F4D8" w:rsidR="00761D9C" w:rsidRDefault="00BD60DE" w:rsidP="00A84D22">
            <w:pPr>
              <w:rPr>
                <w:rFonts w:ascii="Arial" w:hAnsi="Arial" w:cs="Arial"/>
                <w:sz w:val="20"/>
                <w:szCs w:val="20"/>
              </w:rPr>
            </w:pPr>
            <w:r>
              <w:rPr>
                <w:rFonts w:ascii="Arial" w:hAnsi="Arial" w:cs="Arial"/>
                <w:sz w:val="20"/>
                <w:szCs w:val="20"/>
              </w:rPr>
              <w:t xml:space="preserve">1.B </w:t>
            </w:r>
            <w:r w:rsidR="00761D9C">
              <w:rPr>
                <w:rFonts w:ascii="Arial" w:hAnsi="Arial" w:cs="Arial"/>
                <w:sz w:val="20"/>
                <w:szCs w:val="20"/>
              </w:rPr>
              <w:t>Recenser les outils ou espaces permettant un partage d’information</w:t>
            </w:r>
          </w:p>
          <w:p w14:paraId="1F116889" w14:textId="77777777" w:rsidR="00FE4018" w:rsidRDefault="00FE4018" w:rsidP="00A84D22">
            <w:pPr>
              <w:rPr>
                <w:rFonts w:ascii="Arial" w:hAnsi="Arial" w:cs="Arial"/>
                <w:sz w:val="20"/>
                <w:szCs w:val="20"/>
              </w:rPr>
            </w:pPr>
          </w:p>
          <w:p w14:paraId="5706CDF5" w14:textId="1816002C" w:rsidR="00761D9C" w:rsidRPr="00354DE9" w:rsidRDefault="00BD60DE" w:rsidP="00A84D22">
            <w:pPr>
              <w:rPr>
                <w:rFonts w:ascii="Arial" w:hAnsi="Arial" w:cs="Arial"/>
                <w:sz w:val="20"/>
                <w:szCs w:val="20"/>
              </w:rPr>
            </w:pPr>
            <w:r>
              <w:rPr>
                <w:rFonts w:ascii="Arial" w:hAnsi="Arial" w:cs="Arial"/>
                <w:sz w:val="20"/>
                <w:szCs w:val="20"/>
              </w:rPr>
              <w:t xml:space="preserve">2.A </w:t>
            </w:r>
            <w:r w:rsidR="00F029E3">
              <w:rPr>
                <w:rFonts w:ascii="Arial" w:hAnsi="Arial" w:cs="Arial"/>
                <w:sz w:val="20"/>
                <w:szCs w:val="20"/>
              </w:rPr>
              <w:t xml:space="preserve">Diffuser l’information auprès des professionnels et </w:t>
            </w:r>
            <w:r w:rsidR="00F029E3" w:rsidRPr="00BD60DE">
              <w:rPr>
                <w:rFonts w:ascii="Arial" w:hAnsi="Arial" w:cs="Arial"/>
                <w:sz w:val="20"/>
                <w:szCs w:val="20"/>
              </w:rPr>
              <w:t>des bénéficiaires </w:t>
            </w:r>
          </w:p>
        </w:tc>
      </w:tr>
      <w:tr w:rsidR="00354DE9" w:rsidRPr="00354DE9" w14:paraId="77D9044D" w14:textId="77777777" w:rsidTr="00996C61">
        <w:trPr>
          <w:trHeight w:val="567"/>
          <w:jc w:val="center"/>
        </w:trPr>
        <w:tc>
          <w:tcPr>
            <w:tcW w:w="2547" w:type="dxa"/>
            <w:shd w:val="clear" w:color="auto" w:fill="auto"/>
            <w:vAlign w:val="center"/>
          </w:tcPr>
          <w:p w14:paraId="23C5BA93" w14:textId="77777777" w:rsidR="0057104E" w:rsidRPr="00354DE9" w:rsidRDefault="0057104E" w:rsidP="00BA59FE">
            <w:pPr>
              <w:rPr>
                <w:rFonts w:ascii="Arial" w:hAnsi="Arial" w:cs="Arial"/>
                <w:b/>
                <w:sz w:val="20"/>
                <w:szCs w:val="20"/>
              </w:rPr>
            </w:pPr>
            <w:r w:rsidRPr="00354DE9">
              <w:rPr>
                <w:rFonts w:ascii="Arial" w:hAnsi="Arial" w:cs="Arial"/>
                <w:b/>
                <w:sz w:val="20"/>
                <w:szCs w:val="20"/>
              </w:rPr>
              <w:lastRenderedPageBreak/>
              <w:t>Etapes de mise en œuvre – Description</w:t>
            </w:r>
          </w:p>
        </w:tc>
        <w:tc>
          <w:tcPr>
            <w:tcW w:w="6973" w:type="dxa"/>
            <w:gridSpan w:val="4"/>
            <w:shd w:val="clear" w:color="auto" w:fill="auto"/>
            <w:vAlign w:val="center"/>
          </w:tcPr>
          <w:p w14:paraId="18826CF5" w14:textId="77777777" w:rsidR="00206D91" w:rsidRPr="00206D91" w:rsidRDefault="00206D91" w:rsidP="00206D91">
            <w:pPr>
              <w:jc w:val="center"/>
              <w:rPr>
                <w:rFonts w:ascii="Arial" w:hAnsi="Arial" w:cs="Arial"/>
                <w:b/>
                <w:sz w:val="20"/>
                <w:szCs w:val="20"/>
              </w:rPr>
            </w:pPr>
            <w:r w:rsidRPr="00206D91">
              <w:rPr>
                <w:rFonts w:ascii="Arial" w:hAnsi="Arial" w:cs="Arial"/>
                <w:b/>
                <w:sz w:val="20"/>
                <w:szCs w:val="20"/>
              </w:rPr>
              <w:t>Contribuer à la diffusion d’information relatives à la santé auprès des professionnels du territoire</w:t>
            </w:r>
          </w:p>
          <w:p w14:paraId="4EF237C0" w14:textId="77777777" w:rsidR="00CB1D78" w:rsidRPr="00CB1D78" w:rsidRDefault="00CB1D78" w:rsidP="00CB1D78">
            <w:pPr>
              <w:pStyle w:val="Paragraphedeliste"/>
              <w:ind w:left="1440"/>
              <w:rPr>
                <w:rFonts w:ascii="Arial" w:hAnsi="Arial" w:cs="Arial"/>
                <w:b/>
                <w:sz w:val="20"/>
                <w:szCs w:val="20"/>
              </w:rPr>
            </w:pPr>
          </w:p>
          <w:p w14:paraId="373FD793" w14:textId="2FF4AE07" w:rsidR="00B00F71" w:rsidRDefault="00CB1D78" w:rsidP="00B00F71">
            <w:pPr>
              <w:rPr>
                <w:rFonts w:ascii="Arial" w:hAnsi="Arial" w:cs="Arial"/>
                <w:sz w:val="20"/>
                <w:szCs w:val="20"/>
              </w:rPr>
            </w:pPr>
            <w:r>
              <w:rPr>
                <w:rFonts w:ascii="Arial" w:hAnsi="Arial" w:cs="Arial"/>
                <w:sz w:val="20"/>
                <w:szCs w:val="20"/>
              </w:rPr>
              <w:t xml:space="preserve">En plus de ce qui est déjà prévu dans la </w:t>
            </w:r>
            <w:proofErr w:type="spellStart"/>
            <w:r>
              <w:rPr>
                <w:rFonts w:ascii="Arial" w:hAnsi="Arial" w:cs="Arial"/>
                <w:sz w:val="20"/>
                <w:szCs w:val="20"/>
              </w:rPr>
              <w:t>comitoogie</w:t>
            </w:r>
            <w:proofErr w:type="spellEnd"/>
            <w:r>
              <w:rPr>
                <w:rFonts w:ascii="Arial" w:hAnsi="Arial" w:cs="Arial"/>
                <w:sz w:val="20"/>
                <w:szCs w:val="20"/>
              </w:rPr>
              <w:t xml:space="preserve"> du Contrat Local de Santé, un travail sera effectué sur les sujets suivant :</w:t>
            </w:r>
          </w:p>
          <w:p w14:paraId="51E52928" w14:textId="67B86008" w:rsidR="00CB1D78" w:rsidRPr="00B00F71" w:rsidRDefault="00CB1D78" w:rsidP="00CB1D78">
            <w:pPr>
              <w:pStyle w:val="Paragraphedeliste"/>
              <w:numPr>
                <w:ilvl w:val="0"/>
                <w:numId w:val="12"/>
              </w:numPr>
              <w:spacing w:after="200" w:line="276" w:lineRule="auto"/>
              <w:rPr>
                <w:rFonts w:ascii="Arial" w:hAnsi="Arial" w:cs="Arial"/>
                <w:sz w:val="20"/>
                <w:szCs w:val="20"/>
              </w:rPr>
            </w:pPr>
            <w:r>
              <w:rPr>
                <w:rFonts w:ascii="Arial" w:hAnsi="Arial" w:cs="Arial"/>
                <w:sz w:val="20"/>
                <w:szCs w:val="20"/>
              </w:rPr>
              <w:t>L’</w:t>
            </w:r>
            <w:r w:rsidRPr="00B00F71">
              <w:rPr>
                <w:rFonts w:ascii="Arial" w:hAnsi="Arial" w:cs="Arial"/>
                <w:sz w:val="20"/>
                <w:szCs w:val="20"/>
              </w:rPr>
              <w:t>identifi</w:t>
            </w:r>
            <w:r>
              <w:rPr>
                <w:rFonts w:ascii="Arial" w:hAnsi="Arial" w:cs="Arial"/>
                <w:sz w:val="20"/>
                <w:szCs w:val="20"/>
              </w:rPr>
              <w:t>cation</w:t>
            </w:r>
            <w:r w:rsidRPr="00B00F71">
              <w:rPr>
                <w:rFonts w:ascii="Arial" w:hAnsi="Arial" w:cs="Arial"/>
                <w:sz w:val="20"/>
                <w:szCs w:val="20"/>
              </w:rPr>
              <w:t xml:space="preserve"> </w:t>
            </w:r>
            <w:r>
              <w:rPr>
                <w:rFonts w:ascii="Arial" w:hAnsi="Arial" w:cs="Arial"/>
                <w:sz w:val="20"/>
                <w:szCs w:val="20"/>
              </w:rPr>
              <w:t>d</w:t>
            </w:r>
            <w:r w:rsidRPr="00B00F71">
              <w:rPr>
                <w:rFonts w:ascii="Arial" w:hAnsi="Arial" w:cs="Arial"/>
                <w:sz w:val="20"/>
                <w:szCs w:val="20"/>
              </w:rPr>
              <w:t xml:space="preserve">es besoins </w:t>
            </w:r>
            <w:r>
              <w:rPr>
                <w:rFonts w:ascii="Arial" w:hAnsi="Arial" w:cs="Arial"/>
                <w:sz w:val="20"/>
                <w:szCs w:val="20"/>
              </w:rPr>
              <w:t>autour de l’annuaire</w:t>
            </w:r>
          </w:p>
          <w:p w14:paraId="688E1861" w14:textId="57C404D1" w:rsidR="006326C0" w:rsidRPr="00B00F71" w:rsidRDefault="00CB1D78" w:rsidP="00B00F71">
            <w:pPr>
              <w:pStyle w:val="Paragraphedeliste"/>
              <w:numPr>
                <w:ilvl w:val="0"/>
                <w:numId w:val="12"/>
              </w:numPr>
              <w:rPr>
                <w:rFonts w:ascii="Arial" w:hAnsi="Arial" w:cs="Arial"/>
                <w:sz w:val="20"/>
                <w:szCs w:val="20"/>
              </w:rPr>
            </w:pPr>
            <w:r>
              <w:rPr>
                <w:rFonts w:ascii="Arial" w:hAnsi="Arial" w:cs="Arial"/>
                <w:sz w:val="20"/>
                <w:szCs w:val="20"/>
              </w:rPr>
              <w:t>La m</w:t>
            </w:r>
            <w:r w:rsidR="006326C0" w:rsidRPr="00B00F71">
              <w:rPr>
                <w:rFonts w:ascii="Arial" w:hAnsi="Arial" w:cs="Arial"/>
                <w:sz w:val="20"/>
                <w:szCs w:val="20"/>
              </w:rPr>
              <w:t>obilis</w:t>
            </w:r>
            <w:r>
              <w:rPr>
                <w:rFonts w:ascii="Arial" w:hAnsi="Arial" w:cs="Arial"/>
                <w:sz w:val="20"/>
                <w:szCs w:val="20"/>
              </w:rPr>
              <w:t>ation</w:t>
            </w:r>
            <w:r w:rsidR="006326C0" w:rsidRPr="00B00F71">
              <w:rPr>
                <w:rFonts w:ascii="Arial" w:hAnsi="Arial" w:cs="Arial"/>
                <w:sz w:val="20"/>
                <w:szCs w:val="20"/>
              </w:rPr>
              <w:t xml:space="preserve"> </w:t>
            </w:r>
            <w:r>
              <w:rPr>
                <w:rFonts w:ascii="Arial" w:hAnsi="Arial" w:cs="Arial"/>
                <w:sz w:val="20"/>
                <w:szCs w:val="20"/>
              </w:rPr>
              <w:t>d</w:t>
            </w:r>
            <w:r w:rsidR="006326C0" w:rsidRPr="00B00F71">
              <w:rPr>
                <w:rFonts w:ascii="Arial" w:hAnsi="Arial" w:cs="Arial"/>
                <w:sz w:val="20"/>
                <w:szCs w:val="20"/>
              </w:rPr>
              <w:t xml:space="preserve">es professionnels de santé, du social et/ou la population dans un groupe de travail dédié à </w:t>
            </w:r>
            <w:r>
              <w:rPr>
                <w:rFonts w:ascii="Arial" w:hAnsi="Arial" w:cs="Arial"/>
                <w:sz w:val="20"/>
                <w:szCs w:val="20"/>
              </w:rPr>
              <w:t>la mise en place de l’</w:t>
            </w:r>
            <w:proofErr w:type="spellStart"/>
            <w:r>
              <w:rPr>
                <w:rFonts w:ascii="Arial" w:hAnsi="Arial" w:cs="Arial"/>
                <w:sz w:val="20"/>
                <w:szCs w:val="20"/>
              </w:rPr>
              <w:t>annnuaire</w:t>
            </w:r>
            <w:proofErr w:type="spellEnd"/>
            <w:r>
              <w:rPr>
                <w:rFonts w:ascii="Arial" w:hAnsi="Arial" w:cs="Arial"/>
                <w:sz w:val="20"/>
                <w:szCs w:val="20"/>
              </w:rPr>
              <w:t xml:space="preserve"> </w:t>
            </w:r>
            <w:r w:rsidR="00CD3EB9" w:rsidRPr="00B00F71">
              <w:rPr>
                <w:rFonts w:ascii="Arial" w:hAnsi="Arial" w:cs="Arial"/>
                <w:sz w:val="20"/>
                <w:szCs w:val="20"/>
              </w:rPr>
              <w:t>notamment dans le cadre de l’action être acteur de ma santé.</w:t>
            </w:r>
          </w:p>
          <w:p w14:paraId="5E10D471" w14:textId="65BFB330" w:rsidR="0057104E" w:rsidRPr="00B00F71" w:rsidRDefault="00CB1D78" w:rsidP="00B00F71">
            <w:pPr>
              <w:pStyle w:val="Paragraphedeliste"/>
              <w:numPr>
                <w:ilvl w:val="0"/>
                <w:numId w:val="12"/>
              </w:numPr>
              <w:rPr>
                <w:rFonts w:ascii="Arial" w:hAnsi="Arial" w:cs="Arial"/>
                <w:sz w:val="20"/>
                <w:szCs w:val="20"/>
              </w:rPr>
            </w:pPr>
            <w:r>
              <w:rPr>
                <w:rFonts w:ascii="Arial" w:hAnsi="Arial" w:cs="Arial"/>
                <w:sz w:val="20"/>
                <w:szCs w:val="20"/>
              </w:rPr>
              <w:t>Le r</w:t>
            </w:r>
            <w:r w:rsidR="00CD3EB9" w:rsidRPr="00B00F71">
              <w:rPr>
                <w:rFonts w:ascii="Arial" w:hAnsi="Arial" w:cs="Arial"/>
                <w:sz w:val="20"/>
                <w:szCs w:val="20"/>
              </w:rPr>
              <w:t>ecense</w:t>
            </w:r>
            <w:r>
              <w:rPr>
                <w:rFonts w:ascii="Arial" w:hAnsi="Arial" w:cs="Arial"/>
                <w:sz w:val="20"/>
                <w:szCs w:val="20"/>
              </w:rPr>
              <w:t>ment</w:t>
            </w:r>
            <w:r w:rsidR="00CD3EB9" w:rsidRPr="00B00F71">
              <w:rPr>
                <w:rFonts w:ascii="Arial" w:hAnsi="Arial" w:cs="Arial"/>
                <w:sz w:val="20"/>
                <w:szCs w:val="20"/>
              </w:rPr>
              <w:t xml:space="preserve"> et</w:t>
            </w:r>
            <w:r>
              <w:rPr>
                <w:rFonts w:ascii="Arial" w:hAnsi="Arial" w:cs="Arial"/>
                <w:sz w:val="20"/>
                <w:szCs w:val="20"/>
              </w:rPr>
              <w:t xml:space="preserve"> la</w:t>
            </w:r>
            <w:r w:rsidR="00CD3EB9" w:rsidRPr="00B00F71">
              <w:rPr>
                <w:rFonts w:ascii="Arial" w:hAnsi="Arial" w:cs="Arial"/>
                <w:sz w:val="20"/>
                <w:szCs w:val="20"/>
              </w:rPr>
              <w:t xml:space="preserve"> c</w:t>
            </w:r>
            <w:r w:rsidR="00F029E3" w:rsidRPr="00B00F71">
              <w:rPr>
                <w:rFonts w:ascii="Arial" w:hAnsi="Arial" w:cs="Arial"/>
                <w:sz w:val="20"/>
                <w:szCs w:val="20"/>
              </w:rPr>
              <w:t>artographie</w:t>
            </w:r>
            <w:r>
              <w:rPr>
                <w:rFonts w:ascii="Arial" w:hAnsi="Arial" w:cs="Arial"/>
                <w:sz w:val="20"/>
                <w:szCs w:val="20"/>
              </w:rPr>
              <w:t xml:space="preserve"> de</w:t>
            </w:r>
            <w:r w:rsidR="00F029E3" w:rsidRPr="00B00F71">
              <w:rPr>
                <w:rFonts w:ascii="Arial" w:hAnsi="Arial" w:cs="Arial"/>
                <w:sz w:val="20"/>
                <w:szCs w:val="20"/>
              </w:rPr>
              <w:t xml:space="preserve"> tous les dispositifs existants du territoire sur les différents champs de la santé – santé mentale, offre de soins, ateliers parentalité</w:t>
            </w:r>
          </w:p>
          <w:p w14:paraId="53B36FAC" w14:textId="19635191" w:rsidR="00B00F71" w:rsidRDefault="00CB1D78" w:rsidP="00B00F71">
            <w:pPr>
              <w:pStyle w:val="Paragraphedeliste"/>
              <w:numPr>
                <w:ilvl w:val="0"/>
                <w:numId w:val="12"/>
              </w:numPr>
              <w:rPr>
                <w:rFonts w:ascii="Arial" w:hAnsi="Arial" w:cs="Arial"/>
                <w:sz w:val="20"/>
                <w:szCs w:val="20"/>
              </w:rPr>
            </w:pPr>
            <w:r>
              <w:rPr>
                <w:rFonts w:ascii="Arial" w:hAnsi="Arial" w:cs="Arial"/>
                <w:sz w:val="20"/>
                <w:szCs w:val="20"/>
              </w:rPr>
              <w:t>L’</w:t>
            </w:r>
            <w:r w:rsidR="00B00F71" w:rsidRPr="00B00F71">
              <w:rPr>
                <w:rFonts w:ascii="Arial" w:hAnsi="Arial" w:cs="Arial"/>
                <w:sz w:val="20"/>
                <w:szCs w:val="20"/>
              </w:rPr>
              <w:t>inform</w:t>
            </w:r>
            <w:r>
              <w:rPr>
                <w:rFonts w:ascii="Arial" w:hAnsi="Arial" w:cs="Arial"/>
                <w:sz w:val="20"/>
                <w:szCs w:val="20"/>
              </w:rPr>
              <w:t>ation de</w:t>
            </w:r>
            <w:r w:rsidR="00B00F71" w:rsidRPr="00B00F71">
              <w:rPr>
                <w:rFonts w:ascii="Arial" w:hAnsi="Arial" w:cs="Arial"/>
                <w:sz w:val="20"/>
                <w:szCs w:val="20"/>
              </w:rPr>
              <w:t xml:space="preserve"> tous les acteurs et partenaires du CLS des appels à projets lancés, des conférences/évènements prévus dans le territoire pour que ce soit relayé en proximité.</w:t>
            </w:r>
          </w:p>
          <w:p w14:paraId="1B7576D7" w14:textId="6CE57454" w:rsidR="00B00F71" w:rsidRDefault="00B00F71" w:rsidP="00206D91">
            <w:pPr>
              <w:rPr>
                <w:rFonts w:ascii="Arial" w:hAnsi="Arial" w:cs="Arial"/>
                <w:sz w:val="20"/>
                <w:szCs w:val="20"/>
              </w:rPr>
            </w:pPr>
          </w:p>
          <w:p w14:paraId="5F5B6A85" w14:textId="70B53F49" w:rsidR="00BB01F1" w:rsidRPr="00206D91" w:rsidRDefault="00206D91" w:rsidP="0084457E">
            <w:pPr>
              <w:jc w:val="both"/>
              <w:rPr>
                <w:rFonts w:ascii="Arial" w:hAnsi="Arial" w:cs="Arial"/>
                <w:sz w:val="20"/>
                <w:szCs w:val="20"/>
              </w:rPr>
            </w:pPr>
            <w:r>
              <w:rPr>
                <w:rFonts w:ascii="Arial" w:hAnsi="Arial" w:cs="Arial"/>
                <w:sz w:val="20"/>
                <w:szCs w:val="20"/>
              </w:rPr>
              <w:t xml:space="preserve">Un recensement des outils et des espaces permettant </w:t>
            </w:r>
            <w:proofErr w:type="spellStart"/>
            <w:r>
              <w:rPr>
                <w:rFonts w:ascii="Arial" w:hAnsi="Arial" w:cs="Arial"/>
                <w:sz w:val="20"/>
                <w:szCs w:val="20"/>
              </w:rPr>
              <w:t>l</w:t>
            </w:r>
            <w:proofErr w:type="spellEnd"/>
            <w:r>
              <w:rPr>
                <w:rFonts w:ascii="Arial" w:hAnsi="Arial" w:cs="Arial"/>
                <w:sz w:val="20"/>
                <w:szCs w:val="20"/>
              </w:rPr>
              <w:t xml:space="preserve"> partage d’information sur le territoire </w:t>
            </w:r>
            <w:proofErr w:type="spellStart"/>
            <w:r>
              <w:rPr>
                <w:rFonts w:ascii="Arial" w:hAnsi="Arial" w:cs="Arial"/>
                <w:sz w:val="20"/>
                <w:szCs w:val="20"/>
              </w:rPr>
              <w:t>ser</w:t>
            </w:r>
            <w:proofErr w:type="spellEnd"/>
            <w:r>
              <w:rPr>
                <w:rFonts w:ascii="Arial" w:hAnsi="Arial" w:cs="Arial"/>
                <w:sz w:val="20"/>
                <w:szCs w:val="20"/>
              </w:rPr>
              <w:t xml:space="preserve"> </w:t>
            </w:r>
            <w:proofErr w:type="spellStart"/>
            <w:r>
              <w:rPr>
                <w:rFonts w:ascii="Arial" w:hAnsi="Arial" w:cs="Arial"/>
                <w:sz w:val="20"/>
                <w:szCs w:val="20"/>
              </w:rPr>
              <w:t>affectué</w:t>
            </w:r>
            <w:proofErr w:type="spellEnd"/>
            <w:r>
              <w:rPr>
                <w:rFonts w:ascii="Arial" w:hAnsi="Arial" w:cs="Arial"/>
                <w:sz w:val="20"/>
                <w:szCs w:val="20"/>
              </w:rPr>
              <w:t xml:space="preserve"> afin de ne pas démultiplier les outils. Il est prévu d’</w:t>
            </w:r>
            <w:proofErr w:type="spellStart"/>
            <w:r>
              <w:rPr>
                <w:rFonts w:ascii="Arial" w:hAnsi="Arial" w:cs="Arial"/>
                <w:sz w:val="20"/>
                <w:szCs w:val="20"/>
              </w:rPr>
              <w:t>e</w:t>
            </w:r>
            <w:r w:rsidR="00BB01F1" w:rsidRPr="00206D91">
              <w:rPr>
                <w:rFonts w:ascii="Arial" w:hAnsi="Arial" w:cs="Arial"/>
                <w:sz w:val="20"/>
                <w:szCs w:val="20"/>
              </w:rPr>
              <w:t>tudier</w:t>
            </w:r>
            <w:proofErr w:type="spellEnd"/>
            <w:r w:rsidR="00BB01F1" w:rsidRPr="00206D91">
              <w:rPr>
                <w:rFonts w:ascii="Arial" w:hAnsi="Arial" w:cs="Arial"/>
                <w:sz w:val="20"/>
                <w:szCs w:val="20"/>
              </w:rPr>
              <w:t xml:space="preserve"> la faisabilité technique</w:t>
            </w:r>
            <w:r>
              <w:rPr>
                <w:rFonts w:ascii="Arial" w:hAnsi="Arial" w:cs="Arial"/>
                <w:sz w:val="20"/>
                <w:szCs w:val="20"/>
              </w:rPr>
              <w:t xml:space="preserve"> et</w:t>
            </w:r>
            <w:r w:rsidR="00BB01F1" w:rsidRPr="00206D91">
              <w:rPr>
                <w:rFonts w:ascii="Arial" w:hAnsi="Arial" w:cs="Arial"/>
                <w:sz w:val="20"/>
                <w:szCs w:val="20"/>
              </w:rPr>
              <w:t xml:space="preserve"> financière </w:t>
            </w:r>
            <w:r>
              <w:rPr>
                <w:rFonts w:ascii="Arial" w:hAnsi="Arial" w:cs="Arial"/>
                <w:sz w:val="20"/>
                <w:szCs w:val="20"/>
              </w:rPr>
              <w:t xml:space="preserve">mais aussi </w:t>
            </w:r>
            <w:r w:rsidR="00BB01F1" w:rsidRPr="00206D91">
              <w:rPr>
                <w:rFonts w:ascii="Arial" w:hAnsi="Arial" w:cs="Arial"/>
                <w:sz w:val="20"/>
                <w:szCs w:val="20"/>
              </w:rPr>
              <w:t>de mise à jour d’un tel outil</w:t>
            </w:r>
            <w:r w:rsidR="00CD3EB9" w:rsidRPr="00206D91">
              <w:rPr>
                <w:rFonts w:ascii="Arial" w:hAnsi="Arial" w:cs="Arial"/>
                <w:sz w:val="20"/>
                <w:szCs w:val="20"/>
              </w:rPr>
              <w:t>.</w:t>
            </w:r>
          </w:p>
          <w:p w14:paraId="0FE870D4" w14:textId="2F371121" w:rsidR="00F029E3" w:rsidRPr="0084457E" w:rsidRDefault="00206D91" w:rsidP="0084457E">
            <w:pPr>
              <w:jc w:val="both"/>
              <w:rPr>
                <w:rFonts w:ascii="Arial" w:hAnsi="Arial" w:cs="Arial"/>
                <w:sz w:val="20"/>
                <w:szCs w:val="20"/>
              </w:rPr>
            </w:pPr>
            <w:r>
              <w:rPr>
                <w:rFonts w:ascii="Arial" w:hAnsi="Arial" w:cs="Arial"/>
                <w:sz w:val="20"/>
                <w:szCs w:val="20"/>
              </w:rPr>
              <w:t>Il faudra ensuite procéder à la r</w:t>
            </w:r>
            <w:r w:rsidR="00F029E3" w:rsidRPr="00206D91">
              <w:rPr>
                <w:rFonts w:ascii="Arial" w:hAnsi="Arial" w:cs="Arial"/>
                <w:sz w:val="20"/>
                <w:szCs w:val="20"/>
              </w:rPr>
              <w:t>écupér</w:t>
            </w:r>
            <w:r>
              <w:rPr>
                <w:rFonts w:ascii="Arial" w:hAnsi="Arial" w:cs="Arial"/>
                <w:sz w:val="20"/>
                <w:szCs w:val="20"/>
              </w:rPr>
              <w:t>ation de</w:t>
            </w:r>
            <w:r w:rsidR="00F029E3" w:rsidRPr="00206D91">
              <w:rPr>
                <w:rFonts w:ascii="Arial" w:hAnsi="Arial" w:cs="Arial"/>
                <w:sz w:val="20"/>
                <w:szCs w:val="20"/>
              </w:rPr>
              <w:t xml:space="preserve"> tous les éléments nécessaires : mot clés, public, horaires, lien internet, contact…</w:t>
            </w:r>
            <w:r>
              <w:rPr>
                <w:rFonts w:ascii="Arial" w:hAnsi="Arial" w:cs="Arial"/>
                <w:sz w:val="20"/>
                <w:szCs w:val="20"/>
              </w:rPr>
              <w:t xml:space="preserve"> (type </w:t>
            </w:r>
            <w:proofErr w:type="spellStart"/>
            <w:r>
              <w:rPr>
                <w:rFonts w:ascii="Arial" w:hAnsi="Arial" w:cs="Arial"/>
                <w:sz w:val="20"/>
                <w:szCs w:val="20"/>
              </w:rPr>
              <w:t>solidugide</w:t>
            </w:r>
            <w:proofErr w:type="spellEnd"/>
            <w:r>
              <w:rPr>
                <w:rFonts w:ascii="Arial" w:hAnsi="Arial" w:cs="Arial"/>
                <w:sz w:val="20"/>
                <w:szCs w:val="20"/>
              </w:rPr>
              <w:t>)</w:t>
            </w:r>
            <w:r w:rsidR="0084457E">
              <w:rPr>
                <w:rFonts w:ascii="Arial" w:hAnsi="Arial" w:cs="Arial"/>
                <w:sz w:val="20"/>
                <w:szCs w:val="20"/>
              </w:rPr>
              <w:t>. Une m</w:t>
            </w:r>
            <w:r w:rsidR="00CD3EB9" w:rsidRPr="0084457E">
              <w:rPr>
                <w:rFonts w:ascii="Arial" w:hAnsi="Arial" w:cs="Arial"/>
                <w:sz w:val="20"/>
                <w:szCs w:val="20"/>
              </w:rPr>
              <w:t xml:space="preserve">odification de la </w:t>
            </w:r>
            <w:r w:rsidR="00F029E3" w:rsidRPr="0084457E">
              <w:rPr>
                <w:rFonts w:ascii="Arial" w:hAnsi="Arial" w:cs="Arial"/>
                <w:sz w:val="20"/>
                <w:szCs w:val="20"/>
              </w:rPr>
              <w:t xml:space="preserve">plateforme </w:t>
            </w:r>
            <w:r w:rsidR="00CD3EB9" w:rsidRPr="0084457E">
              <w:rPr>
                <w:rFonts w:ascii="Arial" w:hAnsi="Arial" w:cs="Arial"/>
                <w:sz w:val="20"/>
                <w:szCs w:val="20"/>
              </w:rPr>
              <w:t xml:space="preserve">santé </w:t>
            </w:r>
            <w:r w:rsidR="0084457E">
              <w:rPr>
                <w:rFonts w:ascii="Arial" w:hAnsi="Arial" w:cs="Arial"/>
                <w:sz w:val="20"/>
                <w:szCs w:val="20"/>
              </w:rPr>
              <w:t xml:space="preserve">sera </w:t>
            </w:r>
            <w:proofErr w:type="spellStart"/>
            <w:r w:rsidR="0084457E">
              <w:rPr>
                <w:rFonts w:ascii="Arial" w:hAnsi="Arial" w:cs="Arial"/>
                <w:sz w:val="20"/>
                <w:szCs w:val="20"/>
              </w:rPr>
              <w:t>envisqagé</w:t>
            </w:r>
            <w:proofErr w:type="spellEnd"/>
            <w:r w:rsidR="0084457E">
              <w:rPr>
                <w:rFonts w:ascii="Arial" w:hAnsi="Arial" w:cs="Arial"/>
                <w:sz w:val="20"/>
                <w:szCs w:val="20"/>
              </w:rPr>
              <w:t xml:space="preserve"> </w:t>
            </w:r>
            <w:r w:rsidR="00CD3EB9" w:rsidRPr="0084457E">
              <w:rPr>
                <w:rFonts w:ascii="Arial" w:hAnsi="Arial" w:cs="Arial"/>
                <w:sz w:val="20"/>
                <w:szCs w:val="20"/>
              </w:rPr>
              <w:t xml:space="preserve">afin de permettre le </w:t>
            </w:r>
            <w:r w:rsidR="00F029E3" w:rsidRPr="0084457E">
              <w:rPr>
                <w:rFonts w:ascii="Arial" w:hAnsi="Arial" w:cs="Arial"/>
                <w:sz w:val="20"/>
                <w:szCs w:val="20"/>
              </w:rPr>
              <w:t>regroup</w:t>
            </w:r>
            <w:r w:rsidR="00CD3EB9" w:rsidRPr="0084457E">
              <w:rPr>
                <w:rFonts w:ascii="Arial" w:hAnsi="Arial" w:cs="Arial"/>
                <w:sz w:val="20"/>
                <w:szCs w:val="20"/>
              </w:rPr>
              <w:t>eme</w:t>
            </w:r>
            <w:r w:rsidR="00F029E3" w:rsidRPr="0084457E">
              <w:rPr>
                <w:rFonts w:ascii="Arial" w:hAnsi="Arial" w:cs="Arial"/>
                <w:sz w:val="20"/>
                <w:szCs w:val="20"/>
              </w:rPr>
              <w:t>nt</w:t>
            </w:r>
            <w:r w:rsidR="00CD3EB9" w:rsidRPr="0084457E">
              <w:rPr>
                <w:rFonts w:ascii="Arial" w:hAnsi="Arial" w:cs="Arial"/>
                <w:sz w:val="20"/>
                <w:szCs w:val="20"/>
              </w:rPr>
              <w:t xml:space="preserve"> de</w:t>
            </w:r>
            <w:r w:rsidR="00F029E3" w:rsidRPr="0084457E">
              <w:rPr>
                <w:rFonts w:ascii="Arial" w:hAnsi="Arial" w:cs="Arial"/>
                <w:sz w:val="20"/>
                <w:szCs w:val="20"/>
              </w:rPr>
              <w:t xml:space="preserve"> tous les dispo</w:t>
            </w:r>
            <w:r w:rsidR="006326C0" w:rsidRPr="0084457E">
              <w:rPr>
                <w:rFonts w:ascii="Arial" w:hAnsi="Arial" w:cs="Arial"/>
                <w:sz w:val="20"/>
                <w:szCs w:val="20"/>
              </w:rPr>
              <w:t>sitifs</w:t>
            </w:r>
            <w:r w:rsidR="00F029E3" w:rsidRPr="0084457E">
              <w:rPr>
                <w:rFonts w:ascii="Arial" w:hAnsi="Arial" w:cs="Arial"/>
                <w:sz w:val="20"/>
                <w:szCs w:val="20"/>
              </w:rPr>
              <w:t xml:space="preserve"> par thématiques/publics</w:t>
            </w:r>
            <w:r w:rsidR="00CE2316">
              <w:rPr>
                <w:rFonts w:ascii="Arial" w:hAnsi="Arial" w:cs="Arial"/>
                <w:sz w:val="20"/>
                <w:szCs w:val="20"/>
              </w:rPr>
              <w:t>.</w:t>
            </w:r>
          </w:p>
          <w:p w14:paraId="5D1C4436" w14:textId="0E6ABD69" w:rsidR="006E7395" w:rsidRPr="00CE2316" w:rsidRDefault="00CE2316" w:rsidP="00CE2316">
            <w:pPr>
              <w:rPr>
                <w:rFonts w:ascii="Arial" w:hAnsi="Arial" w:cs="Arial"/>
                <w:sz w:val="20"/>
                <w:szCs w:val="20"/>
              </w:rPr>
            </w:pPr>
            <w:r>
              <w:rPr>
                <w:rFonts w:ascii="Arial" w:hAnsi="Arial" w:cs="Arial"/>
                <w:sz w:val="20"/>
                <w:szCs w:val="20"/>
              </w:rPr>
              <w:t>U</w:t>
            </w:r>
            <w:r w:rsidR="00230668" w:rsidRPr="00CE2316">
              <w:rPr>
                <w:rFonts w:ascii="Arial" w:hAnsi="Arial" w:cs="Arial"/>
                <w:sz w:val="20"/>
                <w:szCs w:val="20"/>
              </w:rPr>
              <w:t xml:space="preserve">n kit de </w:t>
            </w:r>
            <w:r w:rsidR="006E7395" w:rsidRPr="00CE2316">
              <w:rPr>
                <w:rFonts w:ascii="Arial" w:hAnsi="Arial" w:cs="Arial"/>
                <w:sz w:val="20"/>
                <w:szCs w:val="20"/>
              </w:rPr>
              <w:t xml:space="preserve">communication papiers </w:t>
            </w:r>
            <w:r>
              <w:rPr>
                <w:rFonts w:ascii="Arial" w:hAnsi="Arial" w:cs="Arial"/>
                <w:sz w:val="20"/>
                <w:szCs w:val="20"/>
              </w:rPr>
              <w:t>sera également créé et</w:t>
            </w:r>
            <w:r w:rsidR="006E7395" w:rsidRPr="00CE2316">
              <w:rPr>
                <w:rFonts w:ascii="Arial" w:hAnsi="Arial" w:cs="Arial"/>
                <w:sz w:val="20"/>
                <w:szCs w:val="20"/>
              </w:rPr>
              <w:t xml:space="preserve"> distribu</w:t>
            </w:r>
            <w:r>
              <w:rPr>
                <w:rFonts w:ascii="Arial" w:hAnsi="Arial" w:cs="Arial"/>
                <w:sz w:val="20"/>
                <w:szCs w:val="20"/>
              </w:rPr>
              <w:t>é</w:t>
            </w:r>
            <w:r w:rsidR="006E7395" w:rsidRPr="00CE2316">
              <w:rPr>
                <w:rFonts w:ascii="Arial" w:hAnsi="Arial" w:cs="Arial"/>
                <w:sz w:val="20"/>
                <w:szCs w:val="20"/>
              </w:rPr>
              <w:t xml:space="preserve"> en sortie d’</w:t>
            </w:r>
            <w:proofErr w:type="spellStart"/>
            <w:r w:rsidR="006E7395" w:rsidRPr="00CE2316">
              <w:rPr>
                <w:rFonts w:ascii="Arial" w:hAnsi="Arial" w:cs="Arial"/>
                <w:sz w:val="20"/>
                <w:szCs w:val="20"/>
              </w:rPr>
              <w:t>hopsitalisation</w:t>
            </w:r>
            <w:proofErr w:type="spellEnd"/>
            <w:r w:rsidR="00230668" w:rsidRPr="00CE2316">
              <w:rPr>
                <w:rFonts w:ascii="Arial" w:hAnsi="Arial" w:cs="Arial"/>
                <w:sz w:val="20"/>
                <w:szCs w:val="20"/>
              </w:rPr>
              <w:t xml:space="preserve"> avec les différentes associations et actions</w:t>
            </w:r>
            <w:r>
              <w:rPr>
                <w:rFonts w:ascii="Arial" w:hAnsi="Arial" w:cs="Arial"/>
                <w:sz w:val="20"/>
                <w:szCs w:val="20"/>
              </w:rPr>
              <w:t xml:space="preserve">, cette partie sera à construire en lien avec le Centre </w:t>
            </w:r>
            <w:proofErr w:type="spellStart"/>
            <w:r>
              <w:rPr>
                <w:rFonts w:ascii="Arial" w:hAnsi="Arial" w:cs="Arial"/>
                <w:sz w:val="20"/>
                <w:szCs w:val="20"/>
              </w:rPr>
              <w:t>Hopsitalier</w:t>
            </w:r>
            <w:proofErr w:type="spellEnd"/>
            <w:r>
              <w:rPr>
                <w:rFonts w:ascii="Arial" w:hAnsi="Arial" w:cs="Arial"/>
                <w:sz w:val="20"/>
                <w:szCs w:val="20"/>
              </w:rPr>
              <w:t xml:space="preserve"> et les </w:t>
            </w:r>
            <w:proofErr w:type="spellStart"/>
            <w:r>
              <w:rPr>
                <w:rFonts w:ascii="Arial" w:hAnsi="Arial" w:cs="Arial"/>
                <w:sz w:val="20"/>
                <w:szCs w:val="20"/>
              </w:rPr>
              <w:t>equipes</w:t>
            </w:r>
            <w:proofErr w:type="spellEnd"/>
            <w:r>
              <w:rPr>
                <w:rFonts w:ascii="Arial" w:hAnsi="Arial" w:cs="Arial"/>
                <w:sz w:val="20"/>
                <w:szCs w:val="20"/>
              </w:rPr>
              <w:t xml:space="preserve"> coordonnées (CPTS, MSP, ESP) du territoire.</w:t>
            </w:r>
          </w:p>
          <w:p w14:paraId="7444ED78" w14:textId="7C349B43" w:rsidR="00F029E3" w:rsidRDefault="00F029E3" w:rsidP="00F029E3">
            <w:pPr>
              <w:rPr>
                <w:rFonts w:ascii="Arial" w:hAnsi="Arial" w:cs="Arial"/>
                <w:sz w:val="20"/>
                <w:szCs w:val="20"/>
              </w:rPr>
            </w:pPr>
          </w:p>
          <w:p w14:paraId="62F2FA56" w14:textId="77777777" w:rsidR="00206D91" w:rsidRPr="00206D91" w:rsidRDefault="00206D91" w:rsidP="00206D91">
            <w:pPr>
              <w:jc w:val="center"/>
              <w:rPr>
                <w:rFonts w:ascii="Arial" w:hAnsi="Arial" w:cs="Arial"/>
                <w:b/>
                <w:sz w:val="20"/>
                <w:szCs w:val="20"/>
              </w:rPr>
            </w:pPr>
            <w:r w:rsidRPr="00206D91">
              <w:rPr>
                <w:rFonts w:ascii="Arial" w:hAnsi="Arial" w:cs="Arial"/>
                <w:b/>
                <w:sz w:val="20"/>
                <w:szCs w:val="20"/>
              </w:rPr>
              <w:t>Contribuer à la diffusion d’informations relatives à l’offre de santé et d’accompagnement disponible dans le territoire.</w:t>
            </w:r>
          </w:p>
          <w:p w14:paraId="5556D532" w14:textId="77777777" w:rsidR="00B00F71" w:rsidRPr="00B00F71" w:rsidRDefault="00B00F71" w:rsidP="00B00F71">
            <w:pPr>
              <w:pStyle w:val="Paragraphedeliste"/>
              <w:rPr>
                <w:rFonts w:ascii="Arial" w:hAnsi="Arial" w:cs="Arial"/>
                <w:sz w:val="20"/>
                <w:szCs w:val="20"/>
              </w:rPr>
            </w:pPr>
          </w:p>
          <w:p w14:paraId="201CE299" w14:textId="0E9607EF" w:rsidR="00B00F71" w:rsidRPr="00A56C8D" w:rsidRDefault="00A56C8D" w:rsidP="00A56C8D">
            <w:pPr>
              <w:jc w:val="both"/>
              <w:rPr>
                <w:rFonts w:ascii="Arial" w:hAnsi="Arial" w:cs="Arial"/>
                <w:sz w:val="20"/>
                <w:szCs w:val="20"/>
              </w:rPr>
            </w:pPr>
            <w:r>
              <w:rPr>
                <w:rFonts w:ascii="Arial" w:hAnsi="Arial" w:cs="Arial"/>
                <w:sz w:val="20"/>
                <w:szCs w:val="20"/>
              </w:rPr>
              <w:t xml:space="preserve">Un plan de </w:t>
            </w:r>
            <w:r w:rsidR="00B00F71" w:rsidRPr="00A56C8D">
              <w:rPr>
                <w:rFonts w:ascii="Arial" w:hAnsi="Arial" w:cs="Arial"/>
                <w:sz w:val="20"/>
                <w:szCs w:val="20"/>
              </w:rPr>
              <w:t xml:space="preserve">diffusion et </w:t>
            </w:r>
            <w:r>
              <w:rPr>
                <w:rFonts w:ascii="Arial" w:hAnsi="Arial" w:cs="Arial"/>
                <w:sz w:val="20"/>
                <w:szCs w:val="20"/>
              </w:rPr>
              <w:t xml:space="preserve">de </w:t>
            </w:r>
            <w:r w:rsidR="00B00F71" w:rsidRPr="00A56C8D">
              <w:rPr>
                <w:rFonts w:ascii="Arial" w:hAnsi="Arial" w:cs="Arial"/>
                <w:sz w:val="20"/>
                <w:szCs w:val="20"/>
              </w:rPr>
              <w:t>promotion de cette plateforme auprès des professionnels et des habitants</w:t>
            </w:r>
            <w:r>
              <w:rPr>
                <w:rFonts w:ascii="Arial" w:hAnsi="Arial" w:cs="Arial"/>
                <w:sz w:val="20"/>
                <w:szCs w:val="20"/>
              </w:rPr>
              <w:t xml:space="preserve"> sera travaillé avec les habitants et les acteurs du territoire.</w:t>
            </w:r>
          </w:p>
          <w:p w14:paraId="7393600F" w14:textId="1A88B483" w:rsidR="00F029E3" w:rsidRPr="00B00F71" w:rsidRDefault="00F029E3" w:rsidP="00B00F71">
            <w:pPr>
              <w:rPr>
                <w:rFonts w:ascii="Arial" w:hAnsi="Arial" w:cs="Arial"/>
                <w:sz w:val="20"/>
                <w:szCs w:val="20"/>
              </w:rPr>
            </w:pPr>
          </w:p>
        </w:tc>
      </w:tr>
      <w:tr w:rsidR="005C4530" w:rsidRPr="00354DE9" w14:paraId="618BAB81" w14:textId="77777777" w:rsidTr="00996C61">
        <w:trPr>
          <w:trHeight w:val="285"/>
          <w:jc w:val="center"/>
        </w:trPr>
        <w:tc>
          <w:tcPr>
            <w:tcW w:w="2547" w:type="dxa"/>
            <w:shd w:val="clear" w:color="auto" w:fill="auto"/>
            <w:vAlign w:val="center"/>
          </w:tcPr>
          <w:p w14:paraId="5B86EAB1" w14:textId="77777777" w:rsidR="005C4530" w:rsidRPr="00354DE9" w:rsidRDefault="005C4530" w:rsidP="00562D16">
            <w:pPr>
              <w:rPr>
                <w:rFonts w:ascii="Arial" w:hAnsi="Arial" w:cs="Arial"/>
                <w:b/>
                <w:sz w:val="20"/>
                <w:szCs w:val="20"/>
              </w:rPr>
            </w:pPr>
            <w:r>
              <w:rPr>
                <w:rFonts w:ascii="Arial" w:hAnsi="Arial" w:cs="Arial"/>
                <w:b/>
                <w:sz w:val="20"/>
                <w:szCs w:val="20"/>
              </w:rPr>
              <w:t>Durée de l’action</w:t>
            </w:r>
          </w:p>
        </w:tc>
        <w:tc>
          <w:tcPr>
            <w:tcW w:w="6973" w:type="dxa"/>
            <w:gridSpan w:val="4"/>
            <w:tcBorders>
              <w:bottom w:val="single" w:sz="4" w:space="0" w:color="auto"/>
            </w:tcBorders>
            <w:shd w:val="clear" w:color="auto" w:fill="auto"/>
            <w:vAlign w:val="center"/>
          </w:tcPr>
          <w:p w14:paraId="61E677B8" w14:textId="1093CFD4"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F029E3">
              <w:rPr>
                <w:rFonts w:ascii="Arial" w:hAnsi="Arial" w:cs="Arial"/>
                <w:sz w:val="20"/>
                <w:szCs w:val="20"/>
              </w:rPr>
              <w:fldChar w:fldCharType="begin">
                <w:ffData>
                  <w:name w:val=""/>
                  <w:enabled/>
                  <w:calcOnExit w:val="0"/>
                  <w:checkBox>
                    <w:sizeAuto/>
                    <w:default w:val="1"/>
                  </w:checkBox>
                </w:ffData>
              </w:fldChar>
            </w:r>
            <w:r w:rsidR="00F029E3">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00F029E3">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B5373C">
              <w:rPr>
                <w:rFonts w:ascii="Arial" w:hAnsi="Arial" w:cs="Arial"/>
                <w:sz w:val="20"/>
                <w:szCs w:val="20"/>
              </w:rPr>
              <w:t>2025</w:t>
            </w:r>
            <w:r w:rsidR="00B30CB5">
              <w:rPr>
                <w:rFonts w:ascii="Arial" w:hAnsi="Arial" w:cs="Arial"/>
                <w:sz w:val="20"/>
                <w:szCs w:val="20"/>
              </w:rPr>
              <w:t xml:space="preserve">                       </w:t>
            </w:r>
            <w:r>
              <w:rPr>
                <w:rFonts w:ascii="Arial" w:hAnsi="Arial" w:cs="Arial"/>
                <w:sz w:val="20"/>
                <w:szCs w:val="20"/>
              </w:rPr>
              <w:t xml:space="preserve"> Fin : </w:t>
            </w:r>
            <w:r w:rsidR="00B5373C">
              <w:rPr>
                <w:rFonts w:ascii="Arial" w:hAnsi="Arial" w:cs="Arial"/>
                <w:sz w:val="20"/>
                <w:szCs w:val="20"/>
              </w:rPr>
              <w:t>2029</w:t>
            </w:r>
          </w:p>
        </w:tc>
      </w:tr>
      <w:tr w:rsidR="00354DE9" w:rsidRPr="00354DE9" w14:paraId="6A59345B" w14:textId="77777777" w:rsidTr="00996C61">
        <w:trPr>
          <w:trHeight w:val="285"/>
          <w:jc w:val="center"/>
        </w:trPr>
        <w:tc>
          <w:tcPr>
            <w:tcW w:w="2547" w:type="dxa"/>
            <w:shd w:val="clear" w:color="auto" w:fill="auto"/>
            <w:vAlign w:val="center"/>
          </w:tcPr>
          <w:p w14:paraId="463F4FA6" w14:textId="77777777"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14:paraId="05DF80B4" w14:textId="0E5DBE04" w:rsidR="005843B6" w:rsidRPr="00354DE9" w:rsidRDefault="00F029E3" w:rsidP="00F16670">
            <w:pPr>
              <w:rPr>
                <w:rFonts w:ascii="Arial" w:hAnsi="Arial" w:cs="Arial"/>
                <w:sz w:val="20"/>
                <w:szCs w:val="20"/>
              </w:rPr>
            </w:pPr>
            <w:r>
              <w:rPr>
                <w:rFonts w:ascii="Arial" w:hAnsi="Arial" w:cs="Arial"/>
                <w:sz w:val="20"/>
                <w:szCs w:val="20"/>
              </w:rPr>
              <w:t>Tous les acteurs du CLS</w:t>
            </w:r>
          </w:p>
        </w:tc>
      </w:tr>
      <w:tr w:rsidR="0046751A" w:rsidRPr="00354DE9" w14:paraId="4148F58B" w14:textId="77777777" w:rsidTr="00996C61">
        <w:trPr>
          <w:jc w:val="center"/>
        </w:trPr>
        <w:tc>
          <w:tcPr>
            <w:tcW w:w="2547" w:type="dxa"/>
            <w:shd w:val="clear" w:color="auto" w:fill="auto"/>
            <w:vAlign w:val="center"/>
          </w:tcPr>
          <w:p w14:paraId="7B3A8562" w14:textId="77777777"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14:paraId="0F1C0A40" w14:textId="77777777"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14:paraId="41C1E04A"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14:paraId="45C642B6"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14:paraId="61FA1310"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14:paraId="51BA2993" w14:textId="77777777"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14:paraId="6DD9C14B"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14:paraId="55D952BB" w14:textId="512B773F" w:rsidR="0046751A" w:rsidRPr="00EA7DFE" w:rsidRDefault="00F029E3"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14:paraId="0D47ACC6" w14:textId="77777777" w:rsidR="0046751A" w:rsidRPr="00EA7DFE" w:rsidRDefault="00D9224D" w:rsidP="00F47D59">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EA7DFE">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sidR="00EA7DFE">
              <w:rPr>
                <w:rFonts w:ascii="Arial" w:eastAsia="Times New Roman" w:hAnsi="Arial" w:cs="Arial"/>
                <w:sz w:val="20"/>
                <w:szCs w:val="20"/>
                <w:lang w:eastAsia="fr-FR"/>
              </w:rPr>
              <w:t>Adultes (&gt;18 ans)</w:t>
            </w:r>
          </w:p>
        </w:tc>
        <w:tc>
          <w:tcPr>
            <w:tcW w:w="3487" w:type="dxa"/>
            <w:shd w:val="clear" w:color="auto" w:fill="auto"/>
            <w:vAlign w:val="center"/>
          </w:tcPr>
          <w:p w14:paraId="11BBDD6F" w14:textId="77777777"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14:paraId="6F2A92F5" w14:textId="2B5C382B" w:rsidR="0046751A" w:rsidRPr="00354DE9" w:rsidRDefault="00DF0924"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14:paraId="4F54C494" w14:textId="43E16704" w:rsidR="0046751A" w:rsidRDefault="00DF0924"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14:paraId="02063A1C" w14:textId="57591096" w:rsidR="008D747C" w:rsidRPr="00354DE9" w:rsidRDefault="00DF0924"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14:paraId="43EFFD91" w14:textId="5AE30B08" w:rsidR="0046751A" w:rsidRDefault="00DF0924"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14:paraId="68DF82C3" w14:textId="05A67A42" w:rsidR="0046751A" w:rsidRDefault="00DF0924"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14:paraId="61A85093" w14:textId="6DDFC923" w:rsidR="0046751A" w:rsidRPr="00354DE9" w:rsidRDefault="00DF0924"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14:paraId="1127FA29" w14:textId="3271D889" w:rsidR="0046751A" w:rsidRPr="00354DE9" w:rsidRDefault="00DF0924"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14:paraId="45B4B9CE" w14:textId="77777777"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14:paraId="722CED44" w14:textId="77777777" w:rsidTr="00C55AAD">
        <w:trPr>
          <w:trHeight w:val="346"/>
          <w:jc w:val="center"/>
        </w:trPr>
        <w:tc>
          <w:tcPr>
            <w:tcW w:w="2547" w:type="dxa"/>
            <w:shd w:val="clear" w:color="auto" w:fill="FFFFFF" w:themeFill="background1"/>
            <w:vAlign w:val="center"/>
          </w:tcPr>
          <w:p w14:paraId="2700A9F1" w14:textId="77777777" w:rsidR="008E2932" w:rsidRPr="00354DE9" w:rsidRDefault="008E2932" w:rsidP="00354DE9">
            <w:pPr>
              <w:rPr>
                <w:rFonts w:ascii="Arial" w:hAnsi="Arial" w:cs="Arial"/>
                <w:b/>
                <w:sz w:val="20"/>
                <w:szCs w:val="20"/>
              </w:rPr>
            </w:pPr>
            <w:r w:rsidRPr="00354DE9">
              <w:rPr>
                <w:rFonts w:ascii="Arial" w:hAnsi="Arial" w:cs="Arial"/>
                <w:b/>
                <w:sz w:val="20"/>
                <w:szCs w:val="20"/>
              </w:rPr>
              <w:t xml:space="preserve">Territoire </w:t>
            </w:r>
            <w:r w:rsidR="00354DE9" w:rsidRPr="00354DE9">
              <w:rPr>
                <w:rFonts w:ascii="Arial" w:hAnsi="Arial" w:cs="Arial"/>
                <w:b/>
                <w:sz w:val="20"/>
                <w:szCs w:val="20"/>
              </w:rPr>
              <w:t>d’intervention</w:t>
            </w:r>
          </w:p>
        </w:tc>
        <w:tc>
          <w:tcPr>
            <w:tcW w:w="6973" w:type="dxa"/>
            <w:gridSpan w:val="4"/>
            <w:vAlign w:val="center"/>
          </w:tcPr>
          <w:p w14:paraId="5F845139" w14:textId="45940FC4" w:rsidR="008E2932" w:rsidRPr="00354DE9" w:rsidRDefault="00DF0924" w:rsidP="00F16670">
            <w:pPr>
              <w:rPr>
                <w:rFonts w:ascii="Arial" w:hAnsi="Arial" w:cs="Arial"/>
                <w:sz w:val="20"/>
                <w:szCs w:val="20"/>
              </w:rPr>
            </w:pPr>
            <w:r>
              <w:rPr>
                <w:rFonts w:ascii="Arial" w:hAnsi="Arial" w:cs="Arial"/>
                <w:sz w:val="20"/>
                <w:szCs w:val="20"/>
              </w:rPr>
              <w:t>Territoire du CLS (4 communautés de communes)</w:t>
            </w:r>
          </w:p>
        </w:tc>
      </w:tr>
      <w:tr w:rsidR="00F71D52" w:rsidRPr="00354DE9" w14:paraId="0B31FC87" w14:textId="77777777" w:rsidTr="00996C61">
        <w:trPr>
          <w:trHeight w:val="350"/>
          <w:jc w:val="center"/>
        </w:trPr>
        <w:tc>
          <w:tcPr>
            <w:tcW w:w="2547" w:type="dxa"/>
            <w:vMerge w:val="restart"/>
            <w:shd w:val="clear" w:color="auto" w:fill="auto"/>
            <w:vAlign w:val="center"/>
          </w:tcPr>
          <w:p w14:paraId="409749AE" w14:textId="77777777"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14:paraId="06F27B58" w14:textId="77777777"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14:paraId="1F729E5C" w14:textId="2EA5A821" w:rsidR="007452AB" w:rsidRPr="00354DE9" w:rsidRDefault="004F3B80" w:rsidP="00F16670">
            <w:pPr>
              <w:rPr>
                <w:rFonts w:ascii="Arial" w:hAnsi="Arial" w:cs="Arial"/>
                <w:sz w:val="20"/>
                <w:szCs w:val="20"/>
              </w:rPr>
            </w:pPr>
            <w:r>
              <w:rPr>
                <w:rFonts w:ascii="Arial" w:hAnsi="Arial" w:cs="Arial"/>
                <w:sz w:val="20"/>
                <w:szCs w:val="20"/>
              </w:rPr>
              <w:t>A définir en fonction des contours donnés suite au GT</w:t>
            </w:r>
          </w:p>
        </w:tc>
      </w:tr>
      <w:tr w:rsidR="00F71D52" w:rsidRPr="00354DE9" w14:paraId="10F8CEAC" w14:textId="77777777" w:rsidTr="00996C61">
        <w:trPr>
          <w:trHeight w:val="199"/>
          <w:jc w:val="center"/>
        </w:trPr>
        <w:tc>
          <w:tcPr>
            <w:tcW w:w="2547" w:type="dxa"/>
            <w:vMerge/>
            <w:shd w:val="clear" w:color="auto" w:fill="auto"/>
            <w:vAlign w:val="center"/>
          </w:tcPr>
          <w:p w14:paraId="17B17700"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0E2EF812" w14:textId="77777777"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14:paraId="3AEF7F70" w14:textId="77777777" w:rsidR="00F71D52" w:rsidRPr="00354DE9" w:rsidRDefault="00F71D52" w:rsidP="00F16670">
            <w:pPr>
              <w:rPr>
                <w:rFonts w:ascii="Arial" w:hAnsi="Arial" w:cs="Arial"/>
                <w:sz w:val="20"/>
                <w:szCs w:val="20"/>
              </w:rPr>
            </w:pPr>
          </w:p>
        </w:tc>
      </w:tr>
      <w:tr w:rsidR="00F71D52" w:rsidRPr="00354DE9" w14:paraId="57ED85EE" w14:textId="77777777" w:rsidTr="00996C61">
        <w:trPr>
          <w:trHeight w:val="500"/>
          <w:jc w:val="center"/>
        </w:trPr>
        <w:tc>
          <w:tcPr>
            <w:tcW w:w="2547" w:type="dxa"/>
            <w:vMerge/>
            <w:shd w:val="clear" w:color="auto" w:fill="auto"/>
            <w:vAlign w:val="center"/>
          </w:tcPr>
          <w:p w14:paraId="341D4DF0"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6343C587" w14:textId="77777777"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14:paraId="39FDC7FA" w14:textId="3243B05D" w:rsidR="00F71D52" w:rsidRPr="00354DE9" w:rsidRDefault="004F3B80" w:rsidP="00F16670">
            <w:pPr>
              <w:rPr>
                <w:rFonts w:ascii="Arial" w:hAnsi="Arial" w:cs="Arial"/>
                <w:sz w:val="20"/>
                <w:szCs w:val="20"/>
              </w:rPr>
            </w:pPr>
            <w:r>
              <w:rPr>
                <w:rFonts w:ascii="Arial" w:hAnsi="Arial" w:cs="Arial"/>
                <w:sz w:val="20"/>
                <w:szCs w:val="20"/>
              </w:rPr>
              <w:t xml:space="preserve">Plateforme santé du PETR / Informaticien du PETR </w:t>
            </w:r>
          </w:p>
        </w:tc>
      </w:tr>
      <w:tr w:rsidR="00143098" w:rsidRPr="00354DE9" w14:paraId="3157D049" w14:textId="77777777" w:rsidTr="00EE1636">
        <w:trPr>
          <w:trHeight w:val="554"/>
          <w:jc w:val="center"/>
        </w:trPr>
        <w:tc>
          <w:tcPr>
            <w:tcW w:w="2547" w:type="dxa"/>
            <w:vMerge w:val="restart"/>
            <w:shd w:val="clear" w:color="auto" w:fill="FFFFFF" w:themeFill="background1"/>
            <w:vAlign w:val="center"/>
          </w:tcPr>
          <w:p w14:paraId="4E37D992" w14:textId="77777777"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14:paraId="4FA29546"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14:paraId="2B45731A" w14:textId="7EE7F3E1" w:rsidR="00143098" w:rsidRPr="00354DE9" w:rsidRDefault="00BB01F1"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14:paraId="225D69AA" w14:textId="5C5A2082" w:rsidR="00143098" w:rsidRPr="00354DE9" w:rsidRDefault="00BB01F1"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Globalité (synergie des composantes, prise en compte des conditions sociales)</w:t>
            </w:r>
          </w:p>
          <w:p w14:paraId="74AB6197" w14:textId="77777777" w:rsidR="00143098" w:rsidRPr="00354DE9" w:rsidRDefault="00B30CB5"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0"/>
                  </w:checkBox>
                </w:ffData>
              </w:fldChar>
            </w:r>
            <w:bookmarkStart w:id="2" w:name="CaseACocher61"/>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bookmarkEnd w:id="2"/>
            <w:r w:rsidR="00143098" w:rsidRPr="00354DE9">
              <w:rPr>
                <w:rFonts w:ascii="Arial" w:eastAsia="Times New Roman" w:hAnsi="Arial" w:cs="Arial"/>
                <w:iCs/>
                <w:sz w:val="20"/>
                <w:szCs w:val="20"/>
                <w:lang w:eastAsia="fr-FR"/>
              </w:rPr>
              <w:t xml:space="preserve"> Continuité (informationnelle, relationnelle, clinique)</w:t>
            </w:r>
          </w:p>
          <w:p w14:paraId="6DCBDEF4" w14:textId="77777777"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14:paraId="413535A5"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14:paraId="7BE723C5" w14:textId="77777777" w:rsidTr="00EE1636">
        <w:trPr>
          <w:trHeight w:val="554"/>
          <w:jc w:val="center"/>
        </w:trPr>
        <w:tc>
          <w:tcPr>
            <w:tcW w:w="2547" w:type="dxa"/>
            <w:vMerge/>
            <w:shd w:val="clear" w:color="auto" w:fill="FFFFFF" w:themeFill="background1"/>
            <w:vAlign w:val="center"/>
          </w:tcPr>
          <w:p w14:paraId="10DE5617" w14:textId="77777777" w:rsidR="00143098" w:rsidRPr="00354DE9" w:rsidRDefault="00143098" w:rsidP="002E571E">
            <w:pPr>
              <w:rPr>
                <w:rFonts w:ascii="Arial" w:hAnsi="Arial" w:cs="Arial"/>
                <w:b/>
                <w:sz w:val="20"/>
                <w:szCs w:val="20"/>
              </w:rPr>
            </w:pPr>
          </w:p>
        </w:tc>
        <w:tc>
          <w:tcPr>
            <w:tcW w:w="6973" w:type="dxa"/>
            <w:gridSpan w:val="4"/>
            <w:vAlign w:val="center"/>
          </w:tcPr>
          <w:p w14:paraId="3C997477" w14:textId="77777777"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14:paraId="6615D757" w14:textId="77777777" w:rsidR="00143098" w:rsidRPr="00EA7DFE" w:rsidRDefault="00B30CB5"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14:paraId="6EF303D6" w14:textId="1E591C06" w:rsidR="00143098" w:rsidRPr="00EA7DFE" w:rsidRDefault="00BB01F1"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14:paraId="22868A9C" w14:textId="77777777" w:rsidTr="00EE1636">
        <w:trPr>
          <w:trHeight w:val="554"/>
          <w:jc w:val="center"/>
        </w:trPr>
        <w:tc>
          <w:tcPr>
            <w:tcW w:w="2547" w:type="dxa"/>
            <w:vMerge/>
            <w:shd w:val="clear" w:color="auto" w:fill="FFFFFF" w:themeFill="background1"/>
            <w:vAlign w:val="center"/>
          </w:tcPr>
          <w:p w14:paraId="6D5446A8" w14:textId="77777777" w:rsidR="00143098" w:rsidRPr="00354DE9" w:rsidRDefault="00143098" w:rsidP="002E571E">
            <w:pPr>
              <w:rPr>
                <w:rFonts w:ascii="Arial" w:hAnsi="Arial" w:cs="Arial"/>
                <w:b/>
                <w:sz w:val="20"/>
                <w:szCs w:val="20"/>
              </w:rPr>
            </w:pPr>
          </w:p>
        </w:tc>
        <w:tc>
          <w:tcPr>
            <w:tcW w:w="6973" w:type="dxa"/>
            <w:gridSpan w:val="4"/>
            <w:vAlign w:val="center"/>
          </w:tcPr>
          <w:p w14:paraId="5527923E"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14:paraId="6A222E0F" w14:textId="71A5E8B2" w:rsidR="00143098" w:rsidRPr="00354DE9" w:rsidRDefault="00896FBA"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14:paraId="3C4DF7FA" w14:textId="77777777"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14:paraId="162EF555"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14:paraId="35A5FE30" w14:textId="77777777" w:rsidTr="00EE1636">
        <w:trPr>
          <w:trHeight w:val="554"/>
          <w:jc w:val="center"/>
        </w:trPr>
        <w:tc>
          <w:tcPr>
            <w:tcW w:w="2547" w:type="dxa"/>
            <w:vMerge/>
            <w:shd w:val="clear" w:color="auto" w:fill="FFFFFF" w:themeFill="background1"/>
            <w:vAlign w:val="center"/>
          </w:tcPr>
          <w:p w14:paraId="1E803626" w14:textId="77777777" w:rsidR="00143098" w:rsidRPr="00354DE9" w:rsidRDefault="00143098" w:rsidP="002E571E">
            <w:pPr>
              <w:rPr>
                <w:rFonts w:ascii="Arial" w:hAnsi="Arial" w:cs="Arial"/>
                <w:b/>
                <w:sz w:val="20"/>
                <w:szCs w:val="20"/>
              </w:rPr>
            </w:pPr>
          </w:p>
        </w:tc>
        <w:tc>
          <w:tcPr>
            <w:tcW w:w="6973" w:type="dxa"/>
            <w:gridSpan w:val="4"/>
            <w:vAlign w:val="center"/>
          </w:tcPr>
          <w:p w14:paraId="37AA217A"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14:paraId="14D31EB6" w14:textId="7EBA632B" w:rsidR="00143098" w:rsidRPr="00354DE9" w:rsidRDefault="00896FBA"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14:paraId="024DFA59" w14:textId="77777777" w:rsidR="00143098" w:rsidRPr="00354DE9" w:rsidRDefault="00143098" w:rsidP="00F16670">
            <w:pPr>
              <w:rPr>
                <w:rFonts w:ascii="Arial" w:hAnsi="Arial" w:cs="Arial"/>
                <w:i/>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Empowerment </w:t>
            </w:r>
            <w:r w:rsidRPr="00354DE9">
              <w:rPr>
                <w:rFonts w:ascii="Arial" w:eastAsia="Times New Roman" w:hAnsi="Arial" w:cs="Arial"/>
                <w:i/>
                <w:iCs/>
                <w:sz w:val="20"/>
                <w:szCs w:val="20"/>
                <w:lang w:eastAsia="fr-FR"/>
              </w:rPr>
              <w:t>(participation des habitants)</w:t>
            </w:r>
          </w:p>
          <w:p w14:paraId="0489CDBA"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14:paraId="3A2A3BFF" w14:textId="77777777" w:rsidTr="00EE1636">
        <w:trPr>
          <w:trHeight w:val="554"/>
          <w:jc w:val="center"/>
        </w:trPr>
        <w:tc>
          <w:tcPr>
            <w:tcW w:w="2547" w:type="dxa"/>
            <w:vMerge/>
            <w:shd w:val="clear" w:color="auto" w:fill="FFFFFF" w:themeFill="background1"/>
            <w:vAlign w:val="center"/>
          </w:tcPr>
          <w:p w14:paraId="3C1548F3" w14:textId="77777777" w:rsidR="00143098" w:rsidRPr="00354DE9" w:rsidRDefault="00143098" w:rsidP="002E571E">
            <w:pPr>
              <w:rPr>
                <w:rFonts w:ascii="Arial" w:hAnsi="Arial" w:cs="Arial"/>
                <w:b/>
                <w:sz w:val="20"/>
                <w:szCs w:val="20"/>
              </w:rPr>
            </w:pPr>
          </w:p>
        </w:tc>
        <w:tc>
          <w:tcPr>
            <w:tcW w:w="6973" w:type="dxa"/>
            <w:gridSpan w:val="4"/>
            <w:vAlign w:val="center"/>
          </w:tcPr>
          <w:p w14:paraId="179C74D0"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14:paraId="6839FD91"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14:paraId="13C191C0" w14:textId="77777777"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14:paraId="04011FB6" w14:textId="77777777"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14:paraId="40CE42A2" w14:textId="77777777" w:rsidTr="00EE1636">
        <w:trPr>
          <w:trHeight w:val="554"/>
          <w:jc w:val="center"/>
        </w:trPr>
        <w:tc>
          <w:tcPr>
            <w:tcW w:w="2547" w:type="dxa"/>
            <w:vMerge/>
            <w:shd w:val="clear" w:color="auto" w:fill="FFFFFF" w:themeFill="background1"/>
            <w:vAlign w:val="center"/>
          </w:tcPr>
          <w:p w14:paraId="014C65EE" w14:textId="77777777" w:rsidR="00143098" w:rsidRPr="00354DE9" w:rsidRDefault="00143098" w:rsidP="002E571E">
            <w:pPr>
              <w:rPr>
                <w:rFonts w:ascii="Arial" w:hAnsi="Arial" w:cs="Arial"/>
                <w:b/>
                <w:sz w:val="20"/>
                <w:szCs w:val="20"/>
              </w:rPr>
            </w:pPr>
          </w:p>
        </w:tc>
        <w:tc>
          <w:tcPr>
            <w:tcW w:w="6973" w:type="dxa"/>
            <w:gridSpan w:val="4"/>
            <w:vAlign w:val="center"/>
          </w:tcPr>
          <w:p w14:paraId="6AEF0917" w14:textId="77777777"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14:paraId="6F3CA8F2"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14:paraId="052A3F62"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14:paraId="5BB9D0AA" w14:textId="77777777" w:rsidTr="00C55AAD">
        <w:trPr>
          <w:trHeight w:val="423"/>
          <w:jc w:val="center"/>
        </w:trPr>
        <w:tc>
          <w:tcPr>
            <w:tcW w:w="2547" w:type="dxa"/>
            <w:vMerge/>
            <w:shd w:val="clear" w:color="auto" w:fill="FFFFFF" w:themeFill="background1"/>
            <w:vAlign w:val="center"/>
          </w:tcPr>
          <w:p w14:paraId="43DF04E3" w14:textId="77777777" w:rsidR="00143098" w:rsidRPr="00354DE9" w:rsidRDefault="00143098" w:rsidP="002E571E">
            <w:pPr>
              <w:rPr>
                <w:rFonts w:ascii="Arial" w:hAnsi="Arial" w:cs="Arial"/>
                <w:b/>
                <w:sz w:val="20"/>
                <w:szCs w:val="20"/>
              </w:rPr>
            </w:pPr>
          </w:p>
        </w:tc>
        <w:tc>
          <w:tcPr>
            <w:tcW w:w="6973" w:type="dxa"/>
            <w:gridSpan w:val="4"/>
            <w:vAlign w:val="center"/>
          </w:tcPr>
          <w:p w14:paraId="5DCB4F9B" w14:textId="77777777"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14:paraId="53919918" w14:textId="77777777" w:rsidTr="00EE1636">
        <w:trPr>
          <w:trHeight w:val="554"/>
          <w:jc w:val="center"/>
        </w:trPr>
        <w:tc>
          <w:tcPr>
            <w:tcW w:w="2547" w:type="dxa"/>
            <w:shd w:val="clear" w:color="auto" w:fill="FFFFFF" w:themeFill="background1"/>
            <w:vAlign w:val="center"/>
          </w:tcPr>
          <w:p w14:paraId="0286DE0E" w14:textId="77777777"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14:paraId="0B017FD4" w14:textId="5EDE94A2" w:rsidR="001361D6" w:rsidRDefault="006326C0"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B30CB5">
              <w:rPr>
                <w:rFonts w:ascii="Arial" w:hAnsi="Arial" w:cs="Arial"/>
                <w:sz w:val="20"/>
                <w:szCs w:val="20"/>
              </w:rPr>
              <w:fldChar w:fldCharType="begin">
                <w:ffData>
                  <w:name w:val=""/>
                  <w:enabled/>
                  <w:calcOnExit w:val="0"/>
                  <w:checkBox>
                    <w:sizeAuto/>
                    <w:default w:val="0"/>
                  </w:checkBox>
                </w:ffData>
              </w:fldChar>
            </w:r>
            <w:r w:rsidR="00B30CB5">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00B30CB5">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14:paraId="1176C9D2" w14:textId="77777777" w:rsidTr="00EE1636">
        <w:trPr>
          <w:trHeight w:val="554"/>
          <w:jc w:val="center"/>
        </w:trPr>
        <w:tc>
          <w:tcPr>
            <w:tcW w:w="2547" w:type="dxa"/>
            <w:shd w:val="clear" w:color="auto" w:fill="FFFFFF" w:themeFill="background1"/>
            <w:vAlign w:val="center"/>
          </w:tcPr>
          <w:p w14:paraId="13AB1D95" w14:textId="77777777"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14:paraId="269A8897" w14:textId="77777777" w:rsidR="00DB1DCC" w:rsidRPr="005B45F0" w:rsidRDefault="00DB1DCC" w:rsidP="00DB1DCC">
            <w:pPr>
              <w:spacing w:line="253" w:lineRule="atLeast"/>
              <w:rPr>
                <w:rFonts w:ascii="Arial" w:eastAsia="Times New Roman" w:hAnsi="Arial" w:cs="Arial"/>
                <w:bCs/>
                <w:sz w:val="20"/>
                <w:szCs w:val="20"/>
                <w:lang w:eastAsia="fr-FR"/>
              </w:rPr>
            </w:pPr>
          </w:p>
        </w:tc>
      </w:tr>
      <w:tr w:rsidR="00562D16" w:rsidRPr="00354DE9" w14:paraId="7858B5C1" w14:textId="77777777" w:rsidTr="00EE1636">
        <w:trPr>
          <w:trHeight w:val="554"/>
          <w:jc w:val="center"/>
        </w:trPr>
        <w:tc>
          <w:tcPr>
            <w:tcW w:w="2547" w:type="dxa"/>
            <w:shd w:val="clear" w:color="auto" w:fill="FFFFFF" w:themeFill="background1"/>
            <w:vAlign w:val="center"/>
          </w:tcPr>
          <w:p w14:paraId="15294346" w14:textId="77777777"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14:paraId="6B06A0EE" w14:textId="2D4A5C23" w:rsidR="00562D16" w:rsidRPr="00354DE9" w:rsidRDefault="00BB01F1"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D9224D" w:rsidRPr="00354DE9">
              <w:rPr>
                <w:rFonts w:ascii="Arial" w:hAnsi="Arial" w:cs="Arial"/>
                <w:sz w:val="20"/>
                <w:szCs w:val="20"/>
              </w:rPr>
              <w:fldChar w:fldCharType="begin">
                <w:ffData>
                  <w:name w:val="CaseACocher61"/>
                  <w:enabled/>
                  <w:calcOnExit w:val="0"/>
                  <w:checkBox>
                    <w:sizeAuto/>
                    <w:default w:val="0"/>
                  </w:checkBox>
                </w:ffData>
              </w:fldChar>
            </w:r>
            <w:r w:rsidR="00D9224D" w:rsidRPr="00354DE9">
              <w:rPr>
                <w:rFonts w:ascii="Arial" w:hAnsi="Arial" w:cs="Arial"/>
                <w:sz w:val="20"/>
                <w:szCs w:val="20"/>
              </w:rPr>
              <w:instrText xml:space="preserve"> FORMCHECKBOX </w:instrText>
            </w:r>
            <w:r w:rsidR="007D5205">
              <w:rPr>
                <w:rFonts w:ascii="Arial" w:hAnsi="Arial" w:cs="Arial"/>
                <w:sz w:val="20"/>
                <w:szCs w:val="20"/>
              </w:rPr>
            </w:r>
            <w:r w:rsidR="007D5205">
              <w:rPr>
                <w:rFonts w:ascii="Arial" w:hAnsi="Arial" w:cs="Arial"/>
                <w:sz w:val="20"/>
                <w:szCs w:val="20"/>
              </w:rPr>
              <w:fldChar w:fldCharType="separate"/>
            </w:r>
            <w:r w:rsidR="00D9224D" w:rsidRPr="00354DE9">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(Précisez)</w:t>
            </w:r>
          </w:p>
        </w:tc>
      </w:tr>
      <w:tr w:rsidR="00F71D52" w:rsidRPr="00354DE9" w14:paraId="0EC5A1F8" w14:textId="77777777" w:rsidTr="00C55AAD">
        <w:trPr>
          <w:trHeight w:val="2842"/>
          <w:jc w:val="center"/>
        </w:trPr>
        <w:tc>
          <w:tcPr>
            <w:tcW w:w="2547" w:type="dxa"/>
            <w:shd w:val="clear" w:color="auto" w:fill="FFFFFF" w:themeFill="background1"/>
            <w:vAlign w:val="center"/>
          </w:tcPr>
          <w:p w14:paraId="7E41B182" w14:textId="77777777" w:rsidR="00F71D52" w:rsidRPr="00354DE9" w:rsidRDefault="00F71D52" w:rsidP="00155A3B">
            <w:pPr>
              <w:rPr>
                <w:rFonts w:ascii="Arial" w:hAnsi="Arial" w:cs="Arial"/>
                <w:b/>
                <w:sz w:val="20"/>
                <w:szCs w:val="20"/>
              </w:rPr>
            </w:pPr>
            <w:r w:rsidRPr="00354DE9">
              <w:rPr>
                <w:rFonts w:ascii="Arial" w:hAnsi="Arial" w:cs="Arial"/>
                <w:b/>
                <w:sz w:val="20"/>
                <w:szCs w:val="20"/>
              </w:rPr>
              <w:t xml:space="preserve">Principaux indicateurs d’évaluation retenus </w:t>
            </w:r>
          </w:p>
        </w:tc>
        <w:tc>
          <w:tcPr>
            <w:tcW w:w="6973" w:type="dxa"/>
            <w:gridSpan w:val="4"/>
            <w:vAlign w:val="center"/>
          </w:tcPr>
          <w:p w14:paraId="3943C6EE" w14:textId="77777777"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14:paraId="7833784B" w14:textId="77777777" w:rsidR="00D9224D" w:rsidRDefault="00D9224D" w:rsidP="00236FB1">
            <w:pPr>
              <w:spacing w:line="253" w:lineRule="atLeast"/>
              <w:rPr>
                <w:rFonts w:ascii="Arial" w:hAnsi="Arial" w:cs="Arial"/>
                <w:b/>
                <w:i/>
                <w:sz w:val="20"/>
                <w:szCs w:val="20"/>
                <w:u w:val="single"/>
              </w:rPr>
            </w:pPr>
          </w:p>
          <w:p w14:paraId="699ABB4C" w14:textId="77777777"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14:paraId="70103BBB" w14:textId="6ADB19AF" w:rsidR="00A44738" w:rsidRDefault="00BB01F1" w:rsidP="001772B5">
            <w:pPr>
              <w:jc w:val="both"/>
              <w:rPr>
                <w:rFonts w:ascii="Arial" w:hAnsi="Arial" w:cs="Arial"/>
                <w:sz w:val="20"/>
                <w:szCs w:val="20"/>
              </w:rPr>
            </w:pPr>
            <w:r>
              <w:rPr>
                <w:rFonts w:ascii="Arial" w:hAnsi="Arial" w:cs="Arial"/>
                <w:sz w:val="20"/>
                <w:szCs w:val="20"/>
              </w:rPr>
              <w:t>Nombre de réunions du groupe de travail</w:t>
            </w:r>
          </w:p>
          <w:p w14:paraId="14937123" w14:textId="6DCD2CCE" w:rsidR="00BB01F1" w:rsidRDefault="00BB01F1" w:rsidP="001772B5">
            <w:pPr>
              <w:jc w:val="both"/>
              <w:rPr>
                <w:rFonts w:ascii="Arial" w:hAnsi="Arial" w:cs="Arial"/>
                <w:sz w:val="20"/>
                <w:szCs w:val="20"/>
              </w:rPr>
            </w:pPr>
            <w:r>
              <w:rPr>
                <w:rFonts w:ascii="Arial" w:hAnsi="Arial" w:cs="Arial"/>
                <w:sz w:val="20"/>
                <w:szCs w:val="20"/>
              </w:rPr>
              <w:t>Typologie d’acteurs intégrant le groupe de travail</w:t>
            </w:r>
          </w:p>
          <w:p w14:paraId="733CCFDF" w14:textId="7DD29FDC" w:rsidR="00640F19" w:rsidRDefault="00640F19" w:rsidP="001772B5">
            <w:pPr>
              <w:jc w:val="both"/>
              <w:rPr>
                <w:rFonts w:ascii="Arial" w:hAnsi="Arial" w:cs="Arial"/>
                <w:sz w:val="20"/>
                <w:szCs w:val="20"/>
              </w:rPr>
            </w:pPr>
            <w:r>
              <w:rPr>
                <w:rFonts w:ascii="Arial" w:hAnsi="Arial" w:cs="Arial"/>
                <w:sz w:val="20"/>
                <w:szCs w:val="20"/>
              </w:rPr>
              <w:t>Mise à jour de la plateforme</w:t>
            </w:r>
          </w:p>
          <w:p w14:paraId="5A21724C" w14:textId="77777777" w:rsidR="00BB01F1" w:rsidRPr="001772B5" w:rsidRDefault="00BB01F1" w:rsidP="001772B5">
            <w:pPr>
              <w:jc w:val="both"/>
              <w:rPr>
                <w:rFonts w:ascii="Arial" w:hAnsi="Arial" w:cs="Arial"/>
                <w:sz w:val="20"/>
                <w:szCs w:val="20"/>
              </w:rPr>
            </w:pPr>
          </w:p>
          <w:p w14:paraId="39D06F11" w14:textId="77777777"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14:paraId="137FE940" w14:textId="53695341" w:rsidR="00BB01F1" w:rsidRDefault="00896FBA" w:rsidP="00F16670">
            <w:pPr>
              <w:spacing w:line="253" w:lineRule="atLeast"/>
              <w:rPr>
                <w:rFonts w:ascii="Arial" w:eastAsia="Times New Roman" w:hAnsi="Arial" w:cs="Arial"/>
                <w:iCs/>
                <w:sz w:val="20"/>
                <w:szCs w:val="20"/>
                <w:lang w:eastAsia="fr-FR"/>
              </w:rPr>
            </w:pPr>
            <w:r>
              <w:rPr>
                <w:rFonts w:ascii="Arial" w:eastAsia="Times New Roman" w:hAnsi="Arial" w:cs="Arial"/>
                <w:iCs/>
                <w:sz w:val="20"/>
                <w:szCs w:val="20"/>
                <w:lang w:eastAsia="fr-FR"/>
              </w:rPr>
              <w:t>Consultations de la plateforme par les pros</w:t>
            </w:r>
          </w:p>
          <w:p w14:paraId="0AABB9BC" w14:textId="0509ACC6" w:rsidR="00896FBA" w:rsidRPr="00896FBA" w:rsidRDefault="00896FBA" w:rsidP="00F16670">
            <w:pPr>
              <w:spacing w:line="253" w:lineRule="atLeast"/>
              <w:rPr>
                <w:rFonts w:ascii="Arial" w:eastAsia="Times New Roman" w:hAnsi="Arial" w:cs="Arial"/>
                <w:bCs/>
                <w:sz w:val="20"/>
                <w:szCs w:val="20"/>
                <w:lang w:eastAsia="fr-FR"/>
              </w:rPr>
            </w:pPr>
            <w:r w:rsidRPr="00896FBA">
              <w:rPr>
                <w:rFonts w:ascii="Arial" w:eastAsia="Times New Roman" w:hAnsi="Arial" w:cs="Arial"/>
                <w:bCs/>
                <w:sz w:val="20"/>
                <w:szCs w:val="20"/>
                <w:lang w:eastAsia="fr-FR"/>
              </w:rPr>
              <w:t xml:space="preserve">Consultation de la plateforme par les habitants </w:t>
            </w:r>
          </w:p>
          <w:p w14:paraId="567E6658" w14:textId="0FA6EC33" w:rsidR="00896FBA" w:rsidRDefault="00896FBA" w:rsidP="00896FBA">
            <w:pPr>
              <w:jc w:val="both"/>
              <w:rPr>
                <w:rFonts w:ascii="Arial" w:hAnsi="Arial" w:cs="Arial"/>
                <w:sz w:val="20"/>
                <w:szCs w:val="20"/>
              </w:rPr>
            </w:pPr>
            <w:r>
              <w:rPr>
                <w:rFonts w:ascii="Arial" w:hAnsi="Arial" w:cs="Arial"/>
                <w:sz w:val="20"/>
                <w:szCs w:val="20"/>
              </w:rPr>
              <w:t>Satisfaction des utilisateurs</w:t>
            </w:r>
          </w:p>
          <w:p w14:paraId="11C00A7E" w14:textId="7A324323" w:rsidR="00854353" w:rsidRDefault="00854353" w:rsidP="00896FBA">
            <w:pPr>
              <w:jc w:val="both"/>
              <w:rPr>
                <w:rFonts w:ascii="Arial" w:hAnsi="Arial" w:cs="Arial"/>
                <w:sz w:val="20"/>
                <w:szCs w:val="20"/>
              </w:rPr>
            </w:pPr>
            <w:r>
              <w:rPr>
                <w:rFonts w:ascii="Arial" w:hAnsi="Arial" w:cs="Arial"/>
                <w:sz w:val="20"/>
                <w:szCs w:val="20"/>
              </w:rPr>
              <w:t>Nombre d’information relayée</w:t>
            </w:r>
          </w:p>
          <w:p w14:paraId="754691B8" w14:textId="006441F9" w:rsidR="00854353" w:rsidRDefault="00854353" w:rsidP="00896FBA">
            <w:pPr>
              <w:jc w:val="both"/>
              <w:rPr>
                <w:rFonts w:ascii="Arial" w:hAnsi="Arial" w:cs="Arial"/>
                <w:sz w:val="20"/>
                <w:szCs w:val="20"/>
              </w:rPr>
            </w:pPr>
            <w:r>
              <w:rPr>
                <w:rFonts w:ascii="Arial" w:hAnsi="Arial" w:cs="Arial"/>
                <w:sz w:val="20"/>
                <w:szCs w:val="20"/>
              </w:rPr>
              <w:t>Nombre de partenaire demandant le relai d’information</w:t>
            </w:r>
          </w:p>
          <w:p w14:paraId="5F35CB4B" w14:textId="77777777" w:rsidR="00896FBA" w:rsidRPr="00413208" w:rsidRDefault="00896FBA" w:rsidP="00F16670">
            <w:pPr>
              <w:spacing w:line="253" w:lineRule="atLeast"/>
              <w:rPr>
                <w:rFonts w:ascii="Arial" w:eastAsia="Times New Roman" w:hAnsi="Arial" w:cs="Arial"/>
                <w:b/>
                <w:bCs/>
                <w:i/>
                <w:sz w:val="20"/>
                <w:szCs w:val="20"/>
                <w:lang w:eastAsia="fr-FR"/>
              </w:rPr>
            </w:pPr>
          </w:p>
          <w:p w14:paraId="50D69AF4" w14:textId="06D557D0" w:rsidR="006C222A" w:rsidRDefault="00200CC5" w:rsidP="00F16670">
            <w:pPr>
              <w:spacing w:line="253" w:lineRule="atLeast"/>
              <w:rPr>
                <w:rFonts w:ascii="Arial" w:eastAsia="Times New Roman" w:hAnsi="Arial" w:cs="Arial"/>
                <w:b/>
                <w:bCs/>
                <w:i/>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896FBA">
              <w:rPr>
                <w:rFonts w:ascii="Arial" w:eastAsia="Times New Roman" w:hAnsi="Arial" w:cs="Arial"/>
                <w:b/>
                <w:bCs/>
                <w:i/>
                <w:sz w:val="20"/>
                <w:szCs w:val="20"/>
                <w:lang w:eastAsia="fr-FR"/>
              </w:rPr>
              <w:t xml:space="preserve"> </w:t>
            </w:r>
            <w:r w:rsidR="00896FBA" w:rsidRPr="00896FBA">
              <w:rPr>
                <w:rFonts w:ascii="Arial" w:eastAsia="Times New Roman" w:hAnsi="Arial" w:cs="Arial"/>
                <w:bCs/>
                <w:i/>
                <w:sz w:val="20"/>
                <w:szCs w:val="20"/>
                <w:lang w:eastAsia="fr-FR"/>
              </w:rPr>
              <w:t>Lisibilité de l’offre pour les habitants et les opérateurs</w:t>
            </w:r>
          </w:p>
          <w:p w14:paraId="540350A4" w14:textId="77777777" w:rsidR="00562D16" w:rsidRDefault="00562D16" w:rsidP="00F16670">
            <w:pPr>
              <w:spacing w:line="253" w:lineRule="atLeast"/>
              <w:rPr>
                <w:rFonts w:ascii="Arial" w:eastAsia="Times New Roman" w:hAnsi="Arial" w:cs="Arial"/>
                <w:bCs/>
                <w:i/>
                <w:sz w:val="20"/>
                <w:szCs w:val="20"/>
                <w:lang w:eastAsia="fr-FR"/>
              </w:rPr>
            </w:pPr>
          </w:p>
          <w:p w14:paraId="1E3980CB" w14:textId="33CF0C3E" w:rsidR="00562D16" w:rsidRDefault="00562D16" w:rsidP="00F16670">
            <w:pPr>
              <w:spacing w:line="253" w:lineRule="atLeast"/>
              <w:rPr>
                <w:rFonts w:ascii="Arial" w:eastAsia="Times New Roman" w:hAnsi="Arial" w:cs="Arial"/>
                <w:b/>
                <w:bCs/>
                <w:i/>
                <w:sz w:val="20"/>
                <w:szCs w:val="20"/>
                <w:lang w:eastAsia="fr-FR"/>
              </w:rPr>
            </w:pPr>
            <w:r w:rsidRPr="00562D16">
              <w:rPr>
                <w:rFonts w:ascii="Arial" w:eastAsia="Times New Roman" w:hAnsi="Arial" w:cs="Arial"/>
                <w:b/>
                <w:bCs/>
                <w:i/>
                <w:sz w:val="20"/>
                <w:szCs w:val="20"/>
                <w:lang w:eastAsia="fr-FR"/>
              </w:rPr>
              <w:t>Méthode d’évaluation envisagée :</w:t>
            </w:r>
            <w:r w:rsidR="00896FBA">
              <w:rPr>
                <w:rFonts w:ascii="Arial" w:eastAsia="Times New Roman" w:hAnsi="Arial" w:cs="Arial"/>
                <w:b/>
                <w:bCs/>
                <w:i/>
                <w:sz w:val="20"/>
                <w:szCs w:val="20"/>
                <w:lang w:eastAsia="fr-FR"/>
              </w:rPr>
              <w:t xml:space="preserve"> </w:t>
            </w:r>
            <w:r w:rsidR="00896FBA" w:rsidRPr="00896FBA">
              <w:rPr>
                <w:rFonts w:ascii="Arial" w:eastAsia="Times New Roman" w:hAnsi="Arial" w:cs="Arial"/>
                <w:bCs/>
                <w:i/>
                <w:sz w:val="20"/>
                <w:szCs w:val="20"/>
                <w:lang w:eastAsia="fr-FR"/>
              </w:rPr>
              <w:t xml:space="preserve">Feuille de </w:t>
            </w:r>
            <w:proofErr w:type="gramStart"/>
            <w:r w:rsidR="00896FBA" w:rsidRPr="00896FBA">
              <w:rPr>
                <w:rFonts w:ascii="Arial" w:eastAsia="Times New Roman" w:hAnsi="Arial" w:cs="Arial"/>
                <w:bCs/>
                <w:i/>
                <w:sz w:val="20"/>
                <w:szCs w:val="20"/>
                <w:lang w:eastAsia="fr-FR"/>
              </w:rPr>
              <w:t>présence ,</w:t>
            </w:r>
            <w:proofErr w:type="gramEnd"/>
            <w:r w:rsidR="00896FBA" w:rsidRPr="00896FBA">
              <w:rPr>
                <w:rFonts w:ascii="Arial" w:eastAsia="Times New Roman" w:hAnsi="Arial" w:cs="Arial"/>
                <w:bCs/>
                <w:i/>
                <w:sz w:val="20"/>
                <w:szCs w:val="20"/>
                <w:lang w:eastAsia="fr-FR"/>
              </w:rPr>
              <w:t xml:space="preserve"> outils </w:t>
            </w:r>
            <w:r w:rsidR="00896FBA">
              <w:rPr>
                <w:rFonts w:ascii="Arial" w:eastAsia="Times New Roman" w:hAnsi="Arial" w:cs="Arial"/>
                <w:bCs/>
                <w:i/>
                <w:sz w:val="20"/>
                <w:szCs w:val="20"/>
                <w:lang w:eastAsia="fr-FR"/>
              </w:rPr>
              <w:t xml:space="preserve">de comptage de visite </w:t>
            </w:r>
            <w:r w:rsidR="00896FBA" w:rsidRPr="00896FBA">
              <w:rPr>
                <w:rFonts w:ascii="Arial" w:eastAsia="Times New Roman" w:hAnsi="Arial" w:cs="Arial"/>
                <w:bCs/>
                <w:i/>
                <w:sz w:val="20"/>
                <w:szCs w:val="20"/>
                <w:lang w:eastAsia="fr-FR"/>
              </w:rPr>
              <w:t>de la plateforme</w:t>
            </w:r>
            <w:r w:rsidR="00896FBA">
              <w:rPr>
                <w:rFonts w:ascii="Arial" w:eastAsia="Times New Roman" w:hAnsi="Arial" w:cs="Arial"/>
                <w:b/>
                <w:bCs/>
                <w:i/>
                <w:sz w:val="20"/>
                <w:szCs w:val="20"/>
                <w:lang w:eastAsia="fr-FR"/>
              </w:rPr>
              <w:t xml:space="preserve"> </w:t>
            </w:r>
          </w:p>
          <w:p w14:paraId="1F0E9DBA" w14:textId="77777777" w:rsidR="00EA7DFE" w:rsidRPr="00562D16" w:rsidRDefault="00EA7DFE" w:rsidP="00F16670">
            <w:pPr>
              <w:spacing w:line="253" w:lineRule="atLeast"/>
              <w:rPr>
                <w:rFonts w:ascii="Arial" w:eastAsia="Times New Roman" w:hAnsi="Arial" w:cs="Arial"/>
                <w:b/>
                <w:bCs/>
                <w:i/>
                <w:sz w:val="20"/>
                <w:szCs w:val="20"/>
                <w:lang w:eastAsia="fr-FR"/>
              </w:rPr>
            </w:pPr>
          </w:p>
        </w:tc>
      </w:tr>
    </w:tbl>
    <w:p w14:paraId="4EE35FD0" w14:textId="77777777"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40B51" w14:textId="77777777" w:rsidR="00590386" w:rsidRDefault="00590386" w:rsidP="000F65D0">
      <w:pPr>
        <w:spacing w:after="0" w:line="240" w:lineRule="auto"/>
      </w:pPr>
      <w:r>
        <w:separator/>
      </w:r>
    </w:p>
  </w:endnote>
  <w:endnote w:type="continuationSeparator" w:id="0">
    <w:p w14:paraId="339AC018" w14:textId="77777777" w:rsidR="00590386" w:rsidRDefault="00590386"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5D26" w14:textId="77777777"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367DB" w14:textId="77777777" w:rsidR="00590386" w:rsidRDefault="00590386" w:rsidP="000F65D0">
      <w:pPr>
        <w:spacing w:after="0" w:line="240" w:lineRule="auto"/>
      </w:pPr>
      <w:r>
        <w:separator/>
      </w:r>
    </w:p>
  </w:footnote>
  <w:footnote w:type="continuationSeparator" w:id="0">
    <w:p w14:paraId="1C9CE1BA" w14:textId="77777777" w:rsidR="00590386" w:rsidRDefault="00590386"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37D"/>
    <w:multiLevelType w:val="hybridMultilevel"/>
    <w:tmpl w:val="175A2E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C61D2F"/>
    <w:multiLevelType w:val="hybridMultilevel"/>
    <w:tmpl w:val="BF8C0B9E"/>
    <w:lvl w:ilvl="0" w:tplc="A93E1CD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3" w15:restartNumberingAfterBreak="0">
    <w:nsid w:val="24144A8A"/>
    <w:multiLevelType w:val="hybridMultilevel"/>
    <w:tmpl w:val="175A2E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183A1F"/>
    <w:multiLevelType w:val="hybridMultilevel"/>
    <w:tmpl w:val="CD1C42E8"/>
    <w:lvl w:ilvl="0" w:tplc="D9ECAB3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223AEA"/>
    <w:multiLevelType w:val="hybridMultilevel"/>
    <w:tmpl w:val="D81C3108"/>
    <w:lvl w:ilvl="0" w:tplc="8708CC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4F135C"/>
    <w:multiLevelType w:val="hybridMultilevel"/>
    <w:tmpl w:val="D584DD10"/>
    <w:lvl w:ilvl="0" w:tplc="AB26400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D01613"/>
    <w:multiLevelType w:val="hybridMultilevel"/>
    <w:tmpl w:val="5D8A079A"/>
    <w:lvl w:ilvl="0" w:tplc="10A2853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953AF2"/>
    <w:multiLevelType w:val="hybridMultilevel"/>
    <w:tmpl w:val="F336F12E"/>
    <w:lvl w:ilvl="0" w:tplc="2730BCC2">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6F264534"/>
    <w:multiLevelType w:val="hybridMultilevel"/>
    <w:tmpl w:val="992A83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10"/>
  </w:num>
  <w:num w:numId="5">
    <w:abstractNumId w:val="2"/>
  </w:num>
  <w:num w:numId="6">
    <w:abstractNumId w:val="6"/>
  </w:num>
  <w:num w:numId="7">
    <w:abstractNumId w:val="12"/>
  </w:num>
  <w:num w:numId="8">
    <w:abstractNumId w:val="0"/>
  </w:num>
  <w:num w:numId="9">
    <w:abstractNumId w:val="11"/>
  </w:num>
  <w:num w:numId="10">
    <w:abstractNumId w:val="9"/>
  </w:num>
  <w:num w:numId="11">
    <w:abstractNumId w:val="1"/>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369F8"/>
    <w:rsid w:val="000415CE"/>
    <w:rsid w:val="000467C4"/>
    <w:rsid w:val="000663A6"/>
    <w:rsid w:val="0007266E"/>
    <w:rsid w:val="00081313"/>
    <w:rsid w:val="0009071D"/>
    <w:rsid w:val="00092B06"/>
    <w:rsid w:val="00095BF8"/>
    <w:rsid w:val="000963C9"/>
    <w:rsid w:val="000B410A"/>
    <w:rsid w:val="000D20D5"/>
    <w:rsid w:val="000F65D0"/>
    <w:rsid w:val="00132058"/>
    <w:rsid w:val="001361D6"/>
    <w:rsid w:val="00143098"/>
    <w:rsid w:val="001514A1"/>
    <w:rsid w:val="00155A3B"/>
    <w:rsid w:val="001772B5"/>
    <w:rsid w:val="00197FAF"/>
    <w:rsid w:val="001A363E"/>
    <w:rsid w:val="001B5676"/>
    <w:rsid w:val="001B66A4"/>
    <w:rsid w:val="001D2B35"/>
    <w:rsid w:val="001D3C27"/>
    <w:rsid w:val="001D5A64"/>
    <w:rsid w:val="001F3366"/>
    <w:rsid w:val="00200CC5"/>
    <w:rsid w:val="00206D91"/>
    <w:rsid w:val="00220C2D"/>
    <w:rsid w:val="00230668"/>
    <w:rsid w:val="00232B63"/>
    <w:rsid w:val="00232D46"/>
    <w:rsid w:val="002369FA"/>
    <w:rsid w:val="00236FB1"/>
    <w:rsid w:val="0027785F"/>
    <w:rsid w:val="00283654"/>
    <w:rsid w:val="002A03EA"/>
    <w:rsid w:val="002B2249"/>
    <w:rsid w:val="002B64AB"/>
    <w:rsid w:val="002C3F5E"/>
    <w:rsid w:val="002C5D0C"/>
    <w:rsid w:val="002E030B"/>
    <w:rsid w:val="002E571E"/>
    <w:rsid w:val="002F799F"/>
    <w:rsid w:val="00302BF2"/>
    <w:rsid w:val="00303F67"/>
    <w:rsid w:val="0031277A"/>
    <w:rsid w:val="00317EE6"/>
    <w:rsid w:val="003211AB"/>
    <w:rsid w:val="00354DE9"/>
    <w:rsid w:val="0036710F"/>
    <w:rsid w:val="0039458C"/>
    <w:rsid w:val="003B3017"/>
    <w:rsid w:val="003B50D4"/>
    <w:rsid w:val="003C1972"/>
    <w:rsid w:val="003C5A06"/>
    <w:rsid w:val="003C7858"/>
    <w:rsid w:val="003D3A7D"/>
    <w:rsid w:val="003D7039"/>
    <w:rsid w:val="003E06AB"/>
    <w:rsid w:val="003E6827"/>
    <w:rsid w:val="003F4186"/>
    <w:rsid w:val="00406721"/>
    <w:rsid w:val="00413208"/>
    <w:rsid w:val="004205F4"/>
    <w:rsid w:val="004438EA"/>
    <w:rsid w:val="004538FE"/>
    <w:rsid w:val="00454C16"/>
    <w:rsid w:val="0046751A"/>
    <w:rsid w:val="00470F3C"/>
    <w:rsid w:val="00485C93"/>
    <w:rsid w:val="00493814"/>
    <w:rsid w:val="00497CC6"/>
    <w:rsid w:val="004B09AF"/>
    <w:rsid w:val="004D2233"/>
    <w:rsid w:val="004E3FC8"/>
    <w:rsid w:val="004F3B80"/>
    <w:rsid w:val="00514B68"/>
    <w:rsid w:val="00520A61"/>
    <w:rsid w:val="005259C1"/>
    <w:rsid w:val="005279BE"/>
    <w:rsid w:val="005424C3"/>
    <w:rsid w:val="00562D16"/>
    <w:rsid w:val="00565122"/>
    <w:rsid w:val="0057104E"/>
    <w:rsid w:val="00575F7C"/>
    <w:rsid w:val="00581B8F"/>
    <w:rsid w:val="005843B6"/>
    <w:rsid w:val="0058636E"/>
    <w:rsid w:val="00587D2A"/>
    <w:rsid w:val="00590386"/>
    <w:rsid w:val="005B3191"/>
    <w:rsid w:val="005B45F0"/>
    <w:rsid w:val="005C4530"/>
    <w:rsid w:val="005C6B90"/>
    <w:rsid w:val="005D223B"/>
    <w:rsid w:val="005E0E8C"/>
    <w:rsid w:val="005E3E50"/>
    <w:rsid w:val="005E6D49"/>
    <w:rsid w:val="005F1C88"/>
    <w:rsid w:val="00603E4F"/>
    <w:rsid w:val="006075C2"/>
    <w:rsid w:val="006103D7"/>
    <w:rsid w:val="006326C0"/>
    <w:rsid w:val="00635DD5"/>
    <w:rsid w:val="00640F19"/>
    <w:rsid w:val="00642029"/>
    <w:rsid w:val="00645F05"/>
    <w:rsid w:val="00667A06"/>
    <w:rsid w:val="00683C9E"/>
    <w:rsid w:val="00697F84"/>
    <w:rsid w:val="006C222A"/>
    <w:rsid w:val="006D18EC"/>
    <w:rsid w:val="006E7395"/>
    <w:rsid w:val="006E7AC4"/>
    <w:rsid w:val="006E7EA4"/>
    <w:rsid w:val="006F6247"/>
    <w:rsid w:val="007006B6"/>
    <w:rsid w:val="0070294D"/>
    <w:rsid w:val="0072428A"/>
    <w:rsid w:val="00737BD8"/>
    <w:rsid w:val="007452AB"/>
    <w:rsid w:val="00761D9C"/>
    <w:rsid w:val="00765FA6"/>
    <w:rsid w:val="007A2C05"/>
    <w:rsid w:val="007A43F5"/>
    <w:rsid w:val="007C085A"/>
    <w:rsid w:val="007C6079"/>
    <w:rsid w:val="007C733F"/>
    <w:rsid w:val="007D344D"/>
    <w:rsid w:val="007D5205"/>
    <w:rsid w:val="007F5BDF"/>
    <w:rsid w:val="007F5EE5"/>
    <w:rsid w:val="008124C7"/>
    <w:rsid w:val="0082333B"/>
    <w:rsid w:val="0083674A"/>
    <w:rsid w:val="0084326F"/>
    <w:rsid w:val="0084457E"/>
    <w:rsid w:val="0085285D"/>
    <w:rsid w:val="00853973"/>
    <w:rsid w:val="00854353"/>
    <w:rsid w:val="00867184"/>
    <w:rsid w:val="00880675"/>
    <w:rsid w:val="008955BD"/>
    <w:rsid w:val="00896FBA"/>
    <w:rsid w:val="008B1140"/>
    <w:rsid w:val="008D6145"/>
    <w:rsid w:val="008D747C"/>
    <w:rsid w:val="008E00F9"/>
    <w:rsid w:val="008E2932"/>
    <w:rsid w:val="008E35E9"/>
    <w:rsid w:val="0090054A"/>
    <w:rsid w:val="0090317F"/>
    <w:rsid w:val="0091435A"/>
    <w:rsid w:val="009302A4"/>
    <w:rsid w:val="00931A42"/>
    <w:rsid w:val="009507D8"/>
    <w:rsid w:val="00960EB5"/>
    <w:rsid w:val="0098266B"/>
    <w:rsid w:val="00993EAA"/>
    <w:rsid w:val="00996C61"/>
    <w:rsid w:val="0099721B"/>
    <w:rsid w:val="009B2256"/>
    <w:rsid w:val="009D1504"/>
    <w:rsid w:val="009D2C12"/>
    <w:rsid w:val="009E216D"/>
    <w:rsid w:val="009E3C5B"/>
    <w:rsid w:val="009E5171"/>
    <w:rsid w:val="00A05F6F"/>
    <w:rsid w:val="00A06420"/>
    <w:rsid w:val="00A064B3"/>
    <w:rsid w:val="00A07F53"/>
    <w:rsid w:val="00A12491"/>
    <w:rsid w:val="00A17758"/>
    <w:rsid w:val="00A26463"/>
    <w:rsid w:val="00A35419"/>
    <w:rsid w:val="00A44738"/>
    <w:rsid w:val="00A50A11"/>
    <w:rsid w:val="00A52410"/>
    <w:rsid w:val="00A56C8D"/>
    <w:rsid w:val="00A57895"/>
    <w:rsid w:val="00A65EA5"/>
    <w:rsid w:val="00A84D22"/>
    <w:rsid w:val="00A853BA"/>
    <w:rsid w:val="00A85539"/>
    <w:rsid w:val="00A91263"/>
    <w:rsid w:val="00A95222"/>
    <w:rsid w:val="00AA64E8"/>
    <w:rsid w:val="00AB46F7"/>
    <w:rsid w:val="00AC4EAF"/>
    <w:rsid w:val="00AC64C8"/>
    <w:rsid w:val="00AE0A60"/>
    <w:rsid w:val="00B00F71"/>
    <w:rsid w:val="00B30CB5"/>
    <w:rsid w:val="00B3589D"/>
    <w:rsid w:val="00B5373C"/>
    <w:rsid w:val="00B6113B"/>
    <w:rsid w:val="00B63045"/>
    <w:rsid w:val="00B63C78"/>
    <w:rsid w:val="00B77E55"/>
    <w:rsid w:val="00B90206"/>
    <w:rsid w:val="00BA28B9"/>
    <w:rsid w:val="00BA59FE"/>
    <w:rsid w:val="00BA67BA"/>
    <w:rsid w:val="00BB01F1"/>
    <w:rsid w:val="00BB4009"/>
    <w:rsid w:val="00BB46BC"/>
    <w:rsid w:val="00BC1EC3"/>
    <w:rsid w:val="00BC68A1"/>
    <w:rsid w:val="00BD43A8"/>
    <w:rsid w:val="00BD60DE"/>
    <w:rsid w:val="00BD6522"/>
    <w:rsid w:val="00C064B1"/>
    <w:rsid w:val="00C108AC"/>
    <w:rsid w:val="00C20F50"/>
    <w:rsid w:val="00C24B6E"/>
    <w:rsid w:val="00C55AAD"/>
    <w:rsid w:val="00C64A31"/>
    <w:rsid w:val="00C66B41"/>
    <w:rsid w:val="00C67C76"/>
    <w:rsid w:val="00C861E6"/>
    <w:rsid w:val="00CA5EAF"/>
    <w:rsid w:val="00CB0C23"/>
    <w:rsid w:val="00CB1869"/>
    <w:rsid w:val="00CB1D78"/>
    <w:rsid w:val="00CB2089"/>
    <w:rsid w:val="00CB54D6"/>
    <w:rsid w:val="00CD3EB9"/>
    <w:rsid w:val="00CE2316"/>
    <w:rsid w:val="00CE2A16"/>
    <w:rsid w:val="00CF332C"/>
    <w:rsid w:val="00CF4089"/>
    <w:rsid w:val="00CF5A01"/>
    <w:rsid w:val="00D06A10"/>
    <w:rsid w:val="00D207A0"/>
    <w:rsid w:val="00D26527"/>
    <w:rsid w:val="00D515D0"/>
    <w:rsid w:val="00D5688F"/>
    <w:rsid w:val="00D6315F"/>
    <w:rsid w:val="00D857D5"/>
    <w:rsid w:val="00D918EE"/>
    <w:rsid w:val="00D9224D"/>
    <w:rsid w:val="00D93E1D"/>
    <w:rsid w:val="00D97F22"/>
    <w:rsid w:val="00DB1DCC"/>
    <w:rsid w:val="00DC5BF0"/>
    <w:rsid w:val="00DD41B9"/>
    <w:rsid w:val="00DE312D"/>
    <w:rsid w:val="00DE7211"/>
    <w:rsid w:val="00DF0924"/>
    <w:rsid w:val="00E22823"/>
    <w:rsid w:val="00E4089D"/>
    <w:rsid w:val="00E42C22"/>
    <w:rsid w:val="00E71DC1"/>
    <w:rsid w:val="00E8090B"/>
    <w:rsid w:val="00E92D2D"/>
    <w:rsid w:val="00EA7DFE"/>
    <w:rsid w:val="00EB1BBA"/>
    <w:rsid w:val="00EC51E6"/>
    <w:rsid w:val="00ED0575"/>
    <w:rsid w:val="00EE1636"/>
    <w:rsid w:val="00EE519C"/>
    <w:rsid w:val="00F008ED"/>
    <w:rsid w:val="00F029E3"/>
    <w:rsid w:val="00F16670"/>
    <w:rsid w:val="00F4306F"/>
    <w:rsid w:val="00F47D59"/>
    <w:rsid w:val="00F56621"/>
    <w:rsid w:val="00F67A8A"/>
    <w:rsid w:val="00F71D52"/>
    <w:rsid w:val="00F743EE"/>
    <w:rsid w:val="00F77CFC"/>
    <w:rsid w:val="00F91A39"/>
    <w:rsid w:val="00F940FE"/>
    <w:rsid w:val="00FA242B"/>
    <w:rsid w:val="00FB0EB1"/>
    <w:rsid w:val="00FC1D9D"/>
    <w:rsid w:val="00FC2812"/>
    <w:rsid w:val="00FE0751"/>
    <w:rsid w:val="00FE4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5084"/>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 w:id="18881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92995"/>
    <w:rsid w:val="00461B3A"/>
    <w:rsid w:val="004A0CE2"/>
    <w:rsid w:val="00600894"/>
    <w:rsid w:val="006A25DD"/>
    <w:rsid w:val="0070219A"/>
    <w:rsid w:val="007D6325"/>
    <w:rsid w:val="007F6977"/>
    <w:rsid w:val="0082333B"/>
    <w:rsid w:val="008624D3"/>
    <w:rsid w:val="00880E1B"/>
    <w:rsid w:val="008E0070"/>
    <w:rsid w:val="009B4F8E"/>
    <w:rsid w:val="009C782F"/>
    <w:rsid w:val="009D2B51"/>
    <w:rsid w:val="00A12EAD"/>
    <w:rsid w:val="00BC1AB3"/>
    <w:rsid w:val="00CF0536"/>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69D23-CBAD-433F-8F2E-C495688F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1340</Words>
  <Characters>7373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28</cp:revision>
  <cp:lastPrinted>2019-09-16T13:02:00Z</cp:lastPrinted>
  <dcterms:created xsi:type="dcterms:W3CDTF">2025-02-28T13:43:00Z</dcterms:created>
  <dcterms:modified xsi:type="dcterms:W3CDTF">2025-03-26T13:25:00Z</dcterms:modified>
</cp:coreProperties>
</file>