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rsidR="00CF5A01" w:rsidRPr="00BA59FE" w:rsidRDefault="00D73E15" w:rsidP="008B1140">
            <w:pPr>
              <w:jc w:val="center"/>
              <w:rPr>
                <w:rFonts w:ascii="Helvetica" w:hAnsi="Helvetica" w:cs="Helvetica"/>
                <w:b/>
                <w:color w:val="000000"/>
                <w:shd w:val="clear" w:color="auto" w:fill="FFFFFF"/>
              </w:rPr>
            </w:pPr>
            <w:r>
              <w:rPr>
                <w:rFonts w:ascii="Helvetica" w:hAnsi="Helvetica" w:cs="Helvetica"/>
                <w:b/>
                <w:color w:val="000000"/>
                <w:shd w:val="clear" w:color="auto" w:fill="FFFFFF"/>
              </w:rPr>
              <w:t>PERSANT : personne et aidant</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D73E15"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B30CB5"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8B1140" w:rsidRPr="00CB1869" w:rsidRDefault="002E5AF9" w:rsidP="00CB1869">
            <w:pPr>
              <w:rPr>
                <w:rFonts w:ascii="Arial" w:hAnsi="Arial" w:cs="Arial"/>
                <w:i/>
                <w:sz w:val="20"/>
                <w:szCs w:val="20"/>
              </w:rPr>
            </w:pPr>
            <w:r>
              <w:rPr>
                <w:rFonts w:ascii="Arial" w:hAnsi="Arial" w:cs="Arial"/>
                <w:i/>
                <w:sz w:val="20"/>
                <w:szCs w:val="20"/>
              </w:rPr>
              <w:t>PETR du Pays de Saverne Plaine et Plateau</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2E5AF9" w:rsidP="00CB1869">
            <w:pPr>
              <w:rPr>
                <w:rFonts w:ascii="Arial" w:hAnsi="Arial" w:cs="Arial"/>
                <w:i/>
                <w:sz w:val="20"/>
                <w:szCs w:val="20"/>
              </w:rPr>
            </w:pPr>
            <w:r>
              <w:rPr>
                <w:rFonts w:ascii="Arial" w:hAnsi="Arial" w:cs="Arial"/>
                <w:i/>
                <w:sz w:val="20"/>
                <w:szCs w:val="20"/>
              </w:rPr>
              <w:t>Chargée de mission santé</w:t>
            </w:r>
          </w:p>
        </w:tc>
      </w:tr>
      <w:tr w:rsidR="00302BF2" w:rsidRPr="00354DE9" w:rsidTr="0001578C">
        <w:trPr>
          <w:trHeight w:val="322"/>
          <w:jc w:val="center"/>
        </w:trPr>
        <w:tc>
          <w:tcPr>
            <w:tcW w:w="2547" w:type="dxa"/>
            <w:shd w:val="clear" w:color="auto" w:fill="auto"/>
            <w:vAlign w:val="center"/>
          </w:tcPr>
          <w:p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rsidR="00302BF2" w:rsidRPr="00CB1869" w:rsidRDefault="002E5AF9" w:rsidP="00CB1869">
            <w:pPr>
              <w:rPr>
                <w:rFonts w:ascii="Arial" w:hAnsi="Arial" w:cs="Arial"/>
                <w:i/>
                <w:sz w:val="20"/>
                <w:szCs w:val="20"/>
              </w:rPr>
            </w:pPr>
            <w:proofErr w:type="spellStart"/>
            <w:proofErr w:type="gramStart"/>
            <w:r>
              <w:rPr>
                <w:rFonts w:ascii="Arial" w:hAnsi="Arial" w:cs="Arial"/>
                <w:i/>
                <w:sz w:val="20"/>
                <w:szCs w:val="20"/>
              </w:rPr>
              <w:t>CeA</w:t>
            </w:r>
            <w:proofErr w:type="spellEnd"/>
            <w:r>
              <w:rPr>
                <w:rFonts w:ascii="Arial" w:hAnsi="Arial" w:cs="Arial"/>
                <w:i/>
                <w:sz w:val="20"/>
                <w:szCs w:val="20"/>
              </w:rPr>
              <w:t xml:space="preserve"> ,</w:t>
            </w:r>
            <w:proofErr w:type="gramEnd"/>
            <w:r>
              <w:rPr>
                <w:rFonts w:ascii="Arial" w:hAnsi="Arial" w:cs="Arial"/>
                <w:i/>
                <w:sz w:val="20"/>
                <w:szCs w:val="20"/>
              </w:rPr>
              <w:t xml:space="preserve"> Electricité de Strasbourg</w:t>
            </w:r>
            <w:r w:rsidR="001415D0">
              <w:rPr>
                <w:rFonts w:ascii="Arial" w:hAnsi="Arial" w:cs="Arial"/>
                <w:i/>
                <w:sz w:val="20"/>
                <w:szCs w:val="20"/>
              </w:rPr>
              <w:t>, CCAS de Saverne, CCHLPP, CSC Sarre Union, CCAB, CCPS</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2E5AF9" w:rsidP="00D9224D">
            <w:pPr>
              <w:rPr>
                <w:rFonts w:ascii="Arial" w:hAnsi="Arial" w:cs="Arial"/>
                <w:b/>
                <w:bCs/>
                <w:sz w:val="20"/>
                <w:szCs w:val="20"/>
              </w:rPr>
            </w:pPr>
            <w:r>
              <w:rPr>
                <w:rFonts w:ascii="Arial" w:hAnsi="Arial" w:cs="Arial"/>
                <w:b/>
                <w:bCs/>
                <w:sz w:val="20"/>
                <w:szCs w:val="20"/>
              </w:rPr>
              <w:t xml:space="preserve">Axe 6 : Santé mentale, santé psychique. </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AE0A60" w:rsidRDefault="002E5AF9" w:rsidP="00AE0A60">
            <w:pPr>
              <w:jc w:val="both"/>
              <w:rPr>
                <w:rFonts w:ascii="Arial" w:hAnsi="Arial" w:cs="Arial"/>
                <w:sz w:val="20"/>
                <w:szCs w:val="20"/>
              </w:rPr>
            </w:pPr>
            <w:bookmarkStart w:id="1" w:name="_Hlk135731512"/>
            <w:r>
              <w:rPr>
                <w:rFonts w:ascii="Arial" w:hAnsi="Arial" w:cs="Arial"/>
                <w:sz w:val="20"/>
                <w:szCs w:val="20"/>
              </w:rPr>
              <w:t xml:space="preserve">Le Territoire du Pays de Saverne Plaine et Plateau est un </w:t>
            </w:r>
            <w:proofErr w:type="spellStart"/>
            <w:r>
              <w:rPr>
                <w:rFonts w:ascii="Arial" w:hAnsi="Arial" w:cs="Arial"/>
                <w:sz w:val="20"/>
                <w:szCs w:val="20"/>
              </w:rPr>
              <w:t>territoirial</w:t>
            </w:r>
            <w:proofErr w:type="spellEnd"/>
            <w:r>
              <w:rPr>
                <w:rFonts w:ascii="Arial" w:hAnsi="Arial" w:cs="Arial"/>
                <w:sz w:val="20"/>
                <w:szCs w:val="20"/>
              </w:rPr>
              <w:t xml:space="preserve"> rural, les problèmes de mobilités sont une problématique</w:t>
            </w:r>
            <w:r w:rsidR="00BA3A71">
              <w:rPr>
                <w:rFonts w:ascii="Arial" w:hAnsi="Arial" w:cs="Arial"/>
                <w:sz w:val="20"/>
                <w:szCs w:val="20"/>
              </w:rPr>
              <w:t xml:space="preserve"> </w:t>
            </w:r>
            <w:proofErr w:type="spellStart"/>
            <w:r w:rsidR="00BA3A71">
              <w:rPr>
                <w:rFonts w:ascii="Arial" w:hAnsi="Arial" w:cs="Arial"/>
                <w:sz w:val="20"/>
                <w:szCs w:val="20"/>
              </w:rPr>
              <w:t>identifée</w:t>
            </w:r>
            <w:proofErr w:type="spellEnd"/>
            <w:r w:rsidR="00BA3A71">
              <w:rPr>
                <w:rFonts w:ascii="Arial" w:hAnsi="Arial" w:cs="Arial"/>
                <w:sz w:val="20"/>
                <w:szCs w:val="20"/>
              </w:rPr>
              <w:t xml:space="preserve"> qui met en difficulté </w:t>
            </w:r>
            <w:proofErr w:type="gramStart"/>
            <w:r w:rsidR="00BA3A71">
              <w:rPr>
                <w:rFonts w:ascii="Arial" w:hAnsi="Arial" w:cs="Arial"/>
                <w:sz w:val="20"/>
                <w:szCs w:val="20"/>
              </w:rPr>
              <w:t>les personne</w:t>
            </w:r>
            <w:proofErr w:type="gramEnd"/>
            <w:r w:rsidR="00BA3A71">
              <w:rPr>
                <w:rFonts w:ascii="Arial" w:hAnsi="Arial" w:cs="Arial"/>
                <w:sz w:val="20"/>
                <w:szCs w:val="20"/>
              </w:rPr>
              <w:t xml:space="preserve"> âgées du territoire et leurs aidants. </w:t>
            </w:r>
          </w:p>
          <w:p w:rsidR="00BA3A71" w:rsidRDefault="00BA3A71" w:rsidP="00AE0A60">
            <w:pPr>
              <w:jc w:val="both"/>
              <w:rPr>
                <w:rFonts w:ascii="Arial" w:hAnsi="Arial" w:cs="Arial"/>
                <w:sz w:val="20"/>
                <w:szCs w:val="20"/>
              </w:rPr>
            </w:pPr>
          </w:p>
          <w:p w:rsidR="00BA3A71" w:rsidRDefault="00BA3A71" w:rsidP="00AE0A60">
            <w:pPr>
              <w:jc w:val="both"/>
              <w:rPr>
                <w:rFonts w:ascii="Arial" w:hAnsi="Arial" w:cs="Arial"/>
                <w:sz w:val="20"/>
                <w:szCs w:val="20"/>
              </w:rPr>
            </w:pPr>
            <w:r>
              <w:rPr>
                <w:rFonts w:ascii="Arial" w:hAnsi="Arial" w:cs="Arial"/>
                <w:sz w:val="20"/>
                <w:szCs w:val="20"/>
              </w:rPr>
              <w:t xml:space="preserve">Souffrant d’isolement et de manque de proximité, les aidants se retrouvent dans </w:t>
            </w:r>
            <w:proofErr w:type="gramStart"/>
            <w:r>
              <w:rPr>
                <w:rFonts w:ascii="Arial" w:hAnsi="Arial" w:cs="Arial"/>
                <w:sz w:val="20"/>
                <w:szCs w:val="20"/>
              </w:rPr>
              <w:t>des situation</w:t>
            </w:r>
            <w:proofErr w:type="gramEnd"/>
            <w:r>
              <w:rPr>
                <w:rFonts w:ascii="Arial" w:hAnsi="Arial" w:cs="Arial"/>
                <w:sz w:val="20"/>
                <w:szCs w:val="20"/>
              </w:rPr>
              <w:t xml:space="preserve"> de détresse psychologique, leur santé tant physique que mentale est en danger. </w:t>
            </w:r>
          </w:p>
          <w:p w:rsidR="00BA3A71" w:rsidRDefault="00BA3A71" w:rsidP="00AE0A60">
            <w:pPr>
              <w:jc w:val="both"/>
              <w:rPr>
                <w:rFonts w:ascii="Arial" w:hAnsi="Arial" w:cs="Arial"/>
                <w:sz w:val="20"/>
                <w:szCs w:val="20"/>
              </w:rPr>
            </w:pPr>
          </w:p>
          <w:p w:rsidR="00BA3A71" w:rsidRDefault="00BA3A71" w:rsidP="00AE0A60">
            <w:pPr>
              <w:jc w:val="both"/>
              <w:rPr>
                <w:rFonts w:ascii="Arial" w:hAnsi="Arial" w:cs="Arial"/>
                <w:sz w:val="20"/>
                <w:szCs w:val="20"/>
              </w:rPr>
            </w:pPr>
            <w:r>
              <w:rPr>
                <w:rFonts w:ascii="Arial" w:hAnsi="Arial" w:cs="Arial"/>
                <w:sz w:val="20"/>
                <w:szCs w:val="20"/>
              </w:rPr>
              <w:t xml:space="preserve">L’offre du territoire est existante mais disséminée et insuffisante. Malgré que le sujet des aidants soient reconnus comme prioritaires, les actions menées restent diffuses et ne touchent pas tous les aidants. </w:t>
            </w:r>
          </w:p>
          <w:p w:rsidR="00AD7CAA" w:rsidRDefault="00AD7CAA" w:rsidP="00AE0A60">
            <w:pPr>
              <w:jc w:val="both"/>
              <w:rPr>
                <w:rFonts w:ascii="Arial" w:hAnsi="Arial" w:cs="Arial"/>
                <w:sz w:val="20"/>
                <w:szCs w:val="20"/>
              </w:rPr>
            </w:pPr>
          </w:p>
          <w:p w:rsidR="00BA3A71" w:rsidRPr="00BA59FE" w:rsidRDefault="00AD7CAA" w:rsidP="00AE0A60">
            <w:pPr>
              <w:jc w:val="both"/>
              <w:rPr>
                <w:rFonts w:ascii="Arial" w:hAnsi="Arial" w:cs="Arial"/>
                <w:sz w:val="20"/>
                <w:szCs w:val="20"/>
              </w:rPr>
            </w:pPr>
            <w:r>
              <w:rPr>
                <w:rFonts w:ascii="Arial" w:hAnsi="Arial" w:cs="Arial"/>
                <w:sz w:val="20"/>
                <w:szCs w:val="20"/>
              </w:rPr>
              <w:t>Plusieurs</w:t>
            </w:r>
            <w:r w:rsidR="00BA3A71">
              <w:rPr>
                <w:rFonts w:ascii="Arial" w:hAnsi="Arial" w:cs="Arial"/>
                <w:sz w:val="20"/>
                <w:szCs w:val="20"/>
              </w:rPr>
              <w:t xml:space="preserve"> enjeux </w:t>
            </w:r>
            <w:r>
              <w:rPr>
                <w:rFonts w:ascii="Arial" w:hAnsi="Arial" w:cs="Arial"/>
                <w:sz w:val="20"/>
                <w:szCs w:val="20"/>
              </w:rPr>
              <w:t xml:space="preserve">ont été </w:t>
            </w:r>
            <w:r w:rsidR="00BA3A71">
              <w:rPr>
                <w:rFonts w:ascii="Arial" w:hAnsi="Arial" w:cs="Arial"/>
                <w:sz w:val="20"/>
                <w:szCs w:val="20"/>
              </w:rPr>
              <w:t>identifiés</w:t>
            </w:r>
            <w:r>
              <w:rPr>
                <w:rFonts w:ascii="Arial" w:hAnsi="Arial" w:cs="Arial"/>
                <w:sz w:val="20"/>
                <w:szCs w:val="20"/>
              </w:rPr>
              <w:t> :</w:t>
            </w:r>
            <w:r w:rsidR="00BA3A71">
              <w:rPr>
                <w:rFonts w:ascii="Arial" w:hAnsi="Arial" w:cs="Arial"/>
                <w:sz w:val="20"/>
                <w:szCs w:val="20"/>
              </w:rPr>
              <w:t xml:space="preserve"> la création d’un maillage territorial et la reconnaissance du statu</w:t>
            </w:r>
            <w:r>
              <w:rPr>
                <w:rFonts w:ascii="Arial" w:hAnsi="Arial" w:cs="Arial"/>
                <w:sz w:val="20"/>
                <w:szCs w:val="20"/>
              </w:rPr>
              <w:t>t</w:t>
            </w:r>
            <w:r w:rsidR="00BA3A71">
              <w:rPr>
                <w:rFonts w:ascii="Arial" w:hAnsi="Arial" w:cs="Arial"/>
                <w:sz w:val="20"/>
                <w:szCs w:val="20"/>
              </w:rPr>
              <w:t xml:space="preserve"> d’aidant</w:t>
            </w:r>
            <w:r w:rsidR="00886D3B">
              <w:rPr>
                <w:rFonts w:ascii="Arial" w:hAnsi="Arial" w:cs="Arial"/>
                <w:sz w:val="20"/>
                <w:szCs w:val="20"/>
              </w:rPr>
              <w:t>.</w:t>
            </w:r>
            <w:r w:rsidR="00113CF4">
              <w:rPr>
                <w:rFonts w:ascii="Arial" w:hAnsi="Arial" w:cs="Arial"/>
                <w:sz w:val="20"/>
                <w:szCs w:val="20"/>
              </w:rPr>
              <w:t xml:space="preserve"> </w:t>
            </w:r>
            <w:bookmarkEnd w:id="1"/>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rsidR="00E22823" w:rsidRDefault="006B21D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6B21D0"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bookmarkStart w:id="2" w:name="_Hlk135731251"/>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8B1140" w:rsidRPr="00354DE9" w:rsidRDefault="00081410" w:rsidP="00F16670">
            <w:pPr>
              <w:rPr>
                <w:rFonts w:ascii="Arial" w:hAnsi="Arial" w:cs="Arial"/>
                <w:sz w:val="20"/>
                <w:szCs w:val="20"/>
              </w:rPr>
            </w:pPr>
            <w:r>
              <w:rPr>
                <w:rFonts w:ascii="Arial" w:hAnsi="Arial" w:cs="Arial"/>
                <w:sz w:val="20"/>
                <w:szCs w:val="20"/>
              </w:rPr>
              <w:t>Soutenir de manière durable le bien être des aidants du territoire</w:t>
            </w:r>
          </w:p>
        </w:tc>
      </w:tr>
      <w:bookmarkEnd w:id="2"/>
      <w:tr w:rsidR="00354DE9" w:rsidRPr="00354DE9" w:rsidTr="00EE1636">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2E5AF9" w:rsidRDefault="002E5AF9" w:rsidP="00A84D22">
            <w:pPr>
              <w:pStyle w:val="Paragraphedeliste"/>
              <w:numPr>
                <w:ilvl w:val="0"/>
                <w:numId w:val="6"/>
              </w:numPr>
              <w:rPr>
                <w:rFonts w:ascii="Arial" w:hAnsi="Arial" w:cs="Arial"/>
                <w:sz w:val="20"/>
                <w:szCs w:val="20"/>
              </w:rPr>
            </w:pPr>
            <w:bookmarkStart w:id="3" w:name="_Hlk135731272"/>
            <w:r w:rsidRPr="002E5AF9">
              <w:rPr>
                <w:rFonts w:ascii="Arial" w:hAnsi="Arial" w:cs="Arial"/>
                <w:sz w:val="20"/>
                <w:szCs w:val="20"/>
              </w:rPr>
              <w:t xml:space="preserve">Compléter l’offre du territoire </w:t>
            </w:r>
          </w:p>
          <w:p w:rsidR="002E5AF9" w:rsidRDefault="002E5AF9" w:rsidP="00A84D22">
            <w:pPr>
              <w:pStyle w:val="Paragraphedeliste"/>
              <w:numPr>
                <w:ilvl w:val="0"/>
                <w:numId w:val="6"/>
              </w:numPr>
              <w:rPr>
                <w:rFonts w:ascii="Arial" w:hAnsi="Arial" w:cs="Arial"/>
                <w:sz w:val="20"/>
                <w:szCs w:val="20"/>
              </w:rPr>
            </w:pPr>
            <w:r>
              <w:rPr>
                <w:rFonts w:ascii="Arial" w:hAnsi="Arial" w:cs="Arial"/>
                <w:sz w:val="20"/>
                <w:szCs w:val="20"/>
              </w:rPr>
              <w:t>Faire connaitre l’offre existante sur le territoire</w:t>
            </w:r>
          </w:p>
          <w:p w:rsidR="002E5AF9" w:rsidRDefault="001415D0" w:rsidP="00A84D22">
            <w:pPr>
              <w:pStyle w:val="Paragraphedeliste"/>
              <w:numPr>
                <w:ilvl w:val="0"/>
                <w:numId w:val="6"/>
              </w:numPr>
              <w:rPr>
                <w:rFonts w:ascii="Arial" w:hAnsi="Arial" w:cs="Arial"/>
                <w:sz w:val="20"/>
                <w:szCs w:val="20"/>
              </w:rPr>
            </w:pPr>
            <w:r>
              <w:rPr>
                <w:rFonts w:ascii="Arial" w:hAnsi="Arial" w:cs="Arial"/>
                <w:sz w:val="20"/>
                <w:szCs w:val="20"/>
              </w:rPr>
              <w:t>Créer un maillage territorial</w:t>
            </w:r>
          </w:p>
          <w:p w:rsidR="00BA3A71" w:rsidRPr="002E5AF9" w:rsidRDefault="00BA3A71" w:rsidP="00A84D22">
            <w:pPr>
              <w:pStyle w:val="Paragraphedeliste"/>
              <w:numPr>
                <w:ilvl w:val="0"/>
                <w:numId w:val="6"/>
              </w:numPr>
              <w:rPr>
                <w:rFonts w:ascii="Arial" w:hAnsi="Arial" w:cs="Arial"/>
                <w:sz w:val="20"/>
                <w:szCs w:val="20"/>
              </w:rPr>
            </w:pPr>
            <w:r>
              <w:rPr>
                <w:rFonts w:ascii="Arial" w:hAnsi="Arial" w:cs="Arial"/>
                <w:sz w:val="20"/>
                <w:szCs w:val="20"/>
              </w:rPr>
              <w:t>Permettre la reconnaissance des aidants</w:t>
            </w:r>
            <w:bookmarkEnd w:id="3"/>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A44738" w:rsidRPr="00605EA8" w:rsidRDefault="002E5AF9" w:rsidP="00605EA8">
            <w:pPr>
              <w:pStyle w:val="Paragraphedeliste"/>
              <w:numPr>
                <w:ilvl w:val="1"/>
                <w:numId w:val="7"/>
              </w:numPr>
              <w:rPr>
                <w:rFonts w:ascii="Arial" w:hAnsi="Arial" w:cs="Arial"/>
                <w:sz w:val="20"/>
                <w:szCs w:val="20"/>
              </w:rPr>
            </w:pPr>
            <w:bookmarkStart w:id="4" w:name="_Hlk135731294"/>
            <w:r w:rsidRPr="00605EA8">
              <w:rPr>
                <w:rFonts w:ascii="Arial" w:hAnsi="Arial" w:cs="Arial"/>
                <w:sz w:val="20"/>
                <w:szCs w:val="20"/>
              </w:rPr>
              <w:t xml:space="preserve">Offrir des temps de présence aux aidés </w:t>
            </w:r>
          </w:p>
          <w:p w:rsidR="00605EA8" w:rsidRDefault="001415D0" w:rsidP="00605EA8">
            <w:pPr>
              <w:pStyle w:val="Paragraphedeliste"/>
              <w:numPr>
                <w:ilvl w:val="1"/>
                <w:numId w:val="7"/>
              </w:numPr>
              <w:rPr>
                <w:rFonts w:ascii="Arial" w:hAnsi="Arial" w:cs="Arial"/>
                <w:sz w:val="20"/>
                <w:szCs w:val="20"/>
              </w:rPr>
            </w:pPr>
            <w:r>
              <w:rPr>
                <w:rFonts w:ascii="Arial" w:hAnsi="Arial" w:cs="Arial"/>
                <w:sz w:val="20"/>
                <w:szCs w:val="20"/>
              </w:rPr>
              <w:t>Offrir une sol</w:t>
            </w:r>
            <w:r w:rsidR="00BA3A71">
              <w:rPr>
                <w:rFonts w:ascii="Arial" w:hAnsi="Arial" w:cs="Arial"/>
                <w:sz w:val="20"/>
                <w:szCs w:val="20"/>
              </w:rPr>
              <w:t>u</w:t>
            </w:r>
            <w:r>
              <w:rPr>
                <w:rFonts w:ascii="Arial" w:hAnsi="Arial" w:cs="Arial"/>
                <w:sz w:val="20"/>
                <w:szCs w:val="20"/>
              </w:rPr>
              <w:t>tion de répit rapide</w:t>
            </w:r>
          </w:p>
          <w:bookmarkEnd w:id="4"/>
          <w:p w:rsidR="001415D0" w:rsidRDefault="001415D0" w:rsidP="001415D0">
            <w:pPr>
              <w:rPr>
                <w:rFonts w:ascii="Arial" w:hAnsi="Arial" w:cs="Arial"/>
                <w:sz w:val="20"/>
                <w:szCs w:val="20"/>
              </w:rPr>
            </w:pPr>
          </w:p>
          <w:p w:rsidR="001415D0" w:rsidRDefault="001415D0" w:rsidP="001415D0">
            <w:pPr>
              <w:rPr>
                <w:rFonts w:ascii="Arial" w:hAnsi="Arial" w:cs="Arial"/>
                <w:sz w:val="20"/>
                <w:szCs w:val="20"/>
              </w:rPr>
            </w:pPr>
            <w:bookmarkStart w:id="5" w:name="_Hlk135731309"/>
            <w:r>
              <w:rPr>
                <w:rFonts w:ascii="Arial" w:hAnsi="Arial" w:cs="Arial"/>
                <w:sz w:val="20"/>
                <w:szCs w:val="20"/>
              </w:rPr>
              <w:lastRenderedPageBreak/>
              <w:t xml:space="preserve">2.1 Orienter les usagers </w:t>
            </w:r>
          </w:p>
          <w:p w:rsidR="001415D0" w:rsidRDefault="001415D0" w:rsidP="001415D0">
            <w:pPr>
              <w:rPr>
                <w:rFonts w:ascii="Arial" w:hAnsi="Arial" w:cs="Arial"/>
                <w:sz w:val="20"/>
                <w:szCs w:val="20"/>
              </w:rPr>
            </w:pPr>
            <w:r>
              <w:rPr>
                <w:rFonts w:ascii="Arial" w:hAnsi="Arial" w:cs="Arial"/>
                <w:sz w:val="20"/>
                <w:szCs w:val="20"/>
              </w:rPr>
              <w:t xml:space="preserve">2.2 Diffuser les informations </w:t>
            </w:r>
            <w:proofErr w:type="spellStart"/>
            <w:r>
              <w:rPr>
                <w:rFonts w:ascii="Arial" w:hAnsi="Arial" w:cs="Arial"/>
                <w:sz w:val="20"/>
                <w:szCs w:val="20"/>
              </w:rPr>
              <w:t>aurpès</w:t>
            </w:r>
            <w:proofErr w:type="spellEnd"/>
            <w:r>
              <w:rPr>
                <w:rFonts w:ascii="Arial" w:hAnsi="Arial" w:cs="Arial"/>
                <w:sz w:val="20"/>
                <w:szCs w:val="20"/>
              </w:rPr>
              <w:t xml:space="preserve"> des adhérents</w:t>
            </w:r>
          </w:p>
          <w:bookmarkEnd w:id="5"/>
          <w:p w:rsidR="001415D0" w:rsidRDefault="001415D0" w:rsidP="001415D0">
            <w:pPr>
              <w:rPr>
                <w:rFonts w:ascii="Arial" w:hAnsi="Arial" w:cs="Arial"/>
                <w:sz w:val="20"/>
                <w:szCs w:val="20"/>
              </w:rPr>
            </w:pPr>
          </w:p>
          <w:p w:rsidR="001415D0" w:rsidRPr="001415D0" w:rsidRDefault="001415D0" w:rsidP="001415D0">
            <w:pPr>
              <w:rPr>
                <w:rFonts w:ascii="Arial" w:hAnsi="Arial" w:cs="Arial"/>
                <w:sz w:val="20"/>
                <w:szCs w:val="20"/>
              </w:rPr>
            </w:pPr>
            <w:bookmarkStart w:id="6" w:name="_Hlk135731332"/>
            <w:r>
              <w:rPr>
                <w:rFonts w:ascii="Arial" w:hAnsi="Arial" w:cs="Arial"/>
                <w:sz w:val="20"/>
                <w:szCs w:val="20"/>
              </w:rPr>
              <w:t>3.1 Créer des antennes de proximité</w:t>
            </w:r>
          </w:p>
          <w:p w:rsidR="002E5AF9" w:rsidRDefault="009B1DD7" w:rsidP="00A84D22">
            <w:pPr>
              <w:rPr>
                <w:rFonts w:ascii="Arial" w:hAnsi="Arial" w:cs="Arial"/>
                <w:sz w:val="20"/>
                <w:szCs w:val="20"/>
              </w:rPr>
            </w:pPr>
            <w:r>
              <w:rPr>
                <w:rFonts w:ascii="Arial" w:hAnsi="Arial" w:cs="Arial"/>
                <w:sz w:val="20"/>
                <w:szCs w:val="20"/>
              </w:rPr>
              <w:t>3.2 Créer un réseau de bénévoles</w:t>
            </w:r>
          </w:p>
          <w:bookmarkEnd w:id="6"/>
          <w:p w:rsidR="00BA3A71" w:rsidRDefault="00BA3A71" w:rsidP="00A84D22">
            <w:pPr>
              <w:rPr>
                <w:rFonts w:ascii="Arial" w:hAnsi="Arial" w:cs="Arial"/>
                <w:sz w:val="20"/>
                <w:szCs w:val="20"/>
              </w:rPr>
            </w:pPr>
          </w:p>
          <w:p w:rsidR="00BA3A71" w:rsidRPr="00BA3A71" w:rsidRDefault="00BA3A71" w:rsidP="00BA3A71">
            <w:pPr>
              <w:pStyle w:val="Paragraphedeliste"/>
              <w:numPr>
                <w:ilvl w:val="1"/>
                <w:numId w:val="6"/>
              </w:numPr>
              <w:rPr>
                <w:rFonts w:ascii="Arial" w:hAnsi="Arial" w:cs="Arial"/>
                <w:sz w:val="20"/>
                <w:szCs w:val="20"/>
              </w:rPr>
            </w:pPr>
            <w:bookmarkStart w:id="7" w:name="_Hlk135731350"/>
            <w:r w:rsidRPr="00BA3A71">
              <w:rPr>
                <w:rFonts w:ascii="Arial" w:hAnsi="Arial" w:cs="Arial"/>
                <w:sz w:val="20"/>
                <w:szCs w:val="20"/>
              </w:rPr>
              <w:t xml:space="preserve">Communiquer sur le </w:t>
            </w:r>
            <w:proofErr w:type="spellStart"/>
            <w:r w:rsidRPr="00BA3A71">
              <w:rPr>
                <w:rFonts w:ascii="Arial" w:hAnsi="Arial" w:cs="Arial"/>
                <w:sz w:val="20"/>
                <w:szCs w:val="20"/>
              </w:rPr>
              <w:t>role</w:t>
            </w:r>
            <w:proofErr w:type="spellEnd"/>
            <w:r w:rsidRPr="00BA3A71">
              <w:rPr>
                <w:rFonts w:ascii="Arial" w:hAnsi="Arial" w:cs="Arial"/>
                <w:sz w:val="20"/>
                <w:szCs w:val="20"/>
              </w:rPr>
              <w:t xml:space="preserve"> d’aidant</w:t>
            </w:r>
            <w:bookmarkEnd w:id="7"/>
          </w:p>
          <w:p w:rsidR="00BA3A71" w:rsidRPr="00BA3A71" w:rsidRDefault="00BA3A71" w:rsidP="00BA3A71">
            <w:pPr>
              <w:pStyle w:val="Paragraphedeliste"/>
              <w:rPr>
                <w:rFonts w:ascii="Arial" w:hAnsi="Arial" w:cs="Arial"/>
                <w:sz w:val="20"/>
                <w:szCs w:val="20"/>
              </w:rPr>
            </w:pP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lastRenderedPageBreak/>
              <w:t>Etapes de mise en œuvre – Description</w:t>
            </w:r>
          </w:p>
        </w:tc>
        <w:tc>
          <w:tcPr>
            <w:tcW w:w="6973" w:type="dxa"/>
            <w:gridSpan w:val="4"/>
            <w:shd w:val="clear" w:color="auto" w:fill="auto"/>
            <w:vAlign w:val="center"/>
          </w:tcPr>
          <w:p w:rsidR="0057104E" w:rsidRDefault="006C3FB0" w:rsidP="004D3F4C">
            <w:pPr>
              <w:pStyle w:val="Paragraphedeliste"/>
              <w:numPr>
                <w:ilvl w:val="0"/>
                <w:numId w:val="8"/>
              </w:numPr>
              <w:jc w:val="both"/>
              <w:rPr>
                <w:rFonts w:ascii="Arial" w:hAnsi="Arial" w:cs="Arial"/>
                <w:sz w:val="20"/>
                <w:szCs w:val="20"/>
              </w:rPr>
            </w:pPr>
            <w:bookmarkStart w:id="8" w:name="_Hlk135732963"/>
            <w:bookmarkStart w:id="9" w:name="_GoBack"/>
            <w:r>
              <w:rPr>
                <w:rFonts w:ascii="Arial" w:hAnsi="Arial" w:cs="Arial"/>
                <w:sz w:val="20"/>
                <w:szCs w:val="20"/>
              </w:rPr>
              <w:t xml:space="preserve">Diagnostic territorial </w:t>
            </w:r>
          </w:p>
          <w:p w:rsidR="001415D0" w:rsidRDefault="001415D0" w:rsidP="004D3F4C">
            <w:pPr>
              <w:pStyle w:val="Paragraphedeliste"/>
              <w:ind w:left="1080"/>
              <w:jc w:val="both"/>
              <w:rPr>
                <w:rFonts w:ascii="Arial" w:hAnsi="Arial" w:cs="Arial"/>
                <w:sz w:val="20"/>
                <w:szCs w:val="20"/>
              </w:rPr>
            </w:pPr>
          </w:p>
          <w:p w:rsidR="004D3F4C" w:rsidRDefault="001415D0" w:rsidP="004D3F4C">
            <w:pPr>
              <w:jc w:val="both"/>
              <w:rPr>
                <w:rFonts w:ascii="Arial" w:hAnsi="Arial" w:cs="Arial"/>
                <w:sz w:val="20"/>
                <w:szCs w:val="20"/>
              </w:rPr>
            </w:pPr>
            <w:r>
              <w:rPr>
                <w:rFonts w:ascii="Arial" w:hAnsi="Arial" w:cs="Arial"/>
                <w:sz w:val="20"/>
                <w:szCs w:val="20"/>
              </w:rPr>
              <w:t xml:space="preserve">Un état des lieux de l’offre sur le territoire à destination des aidants sera réalisé en lien avec les partenaires du territoire. Ce diagnostic permettra d’identifier clairement l’offre et de pouvoir pallier à l’offre manquante, l’offre finale sera donc dépendante de ce diagnostic. </w:t>
            </w:r>
          </w:p>
          <w:p w:rsidR="001415D0" w:rsidRDefault="001415D0" w:rsidP="004D3F4C">
            <w:pPr>
              <w:jc w:val="both"/>
              <w:rPr>
                <w:rFonts w:ascii="Arial" w:hAnsi="Arial" w:cs="Arial"/>
                <w:sz w:val="20"/>
                <w:szCs w:val="20"/>
              </w:rPr>
            </w:pPr>
          </w:p>
          <w:p w:rsidR="001415D0" w:rsidRDefault="001415D0" w:rsidP="004D3F4C">
            <w:pPr>
              <w:pStyle w:val="Paragraphedeliste"/>
              <w:numPr>
                <w:ilvl w:val="0"/>
                <w:numId w:val="8"/>
              </w:numPr>
              <w:jc w:val="both"/>
              <w:rPr>
                <w:rFonts w:ascii="Arial" w:hAnsi="Arial" w:cs="Arial"/>
                <w:sz w:val="20"/>
                <w:szCs w:val="20"/>
              </w:rPr>
            </w:pPr>
            <w:r>
              <w:rPr>
                <w:rFonts w:ascii="Arial" w:hAnsi="Arial" w:cs="Arial"/>
                <w:sz w:val="20"/>
                <w:szCs w:val="20"/>
              </w:rPr>
              <w:t>Création de partenariats</w:t>
            </w:r>
          </w:p>
          <w:p w:rsidR="001415D0" w:rsidRPr="001415D0" w:rsidRDefault="001415D0" w:rsidP="004D3F4C">
            <w:pPr>
              <w:pStyle w:val="Paragraphedeliste"/>
              <w:ind w:left="1080"/>
              <w:jc w:val="both"/>
              <w:rPr>
                <w:rFonts w:ascii="Arial" w:hAnsi="Arial" w:cs="Arial"/>
                <w:sz w:val="20"/>
                <w:szCs w:val="20"/>
              </w:rPr>
            </w:pPr>
          </w:p>
          <w:p w:rsidR="00722675" w:rsidRDefault="001415D0" w:rsidP="004D3F4C">
            <w:pPr>
              <w:jc w:val="both"/>
              <w:rPr>
                <w:rFonts w:ascii="Arial" w:hAnsi="Arial" w:cs="Arial"/>
                <w:sz w:val="20"/>
                <w:szCs w:val="20"/>
              </w:rPr>
            </w:pPr>
            <w:r>
              <w:rPr>
                <w:rFonts w:ascii="Arial" w:hAnsi="Arial" w:cs="Arial"/>
                <w:sz w:val="20"/>
                <w:szCs w:val="20"/>
              </w:rPr>
              <w:t xml:space="preserve">Afin de faire connaitre l’offre </w:t>
            </w:r>
            <w:r w:rsidR="004D3F4C">
              <w:rPr>
                <w:rFonts w:ascii="Arial" w:hAnsi="Arial" w:cs="Arial"/>
                <w:sz w:val="20"/>
                <w:szCs w:val="20"/>
              </w:rPr>
              <w:t xml:space="preserve">proposée et de présenter le projet, nous utiliserons les réseaux existants, comme le comité de coordination </w:t>
            </w:r>
            <w:r>
              <w:rPr>
                <w:rFonts w:ascii="Arial" w:hAnsi="Arial" w:cs="Arial"/>
                <w:sz w:val="20"/>
                <w:szCs w:val="20"/>
              </w:rPr>
              <w:t>d’aide aux aidants</w:t>
            </w:r>
            <w:r w:rsidR="004D3F4C">
              <w:rPr>
                <w:rFonts w:ascii="Arial" w:hAnsi="Arial" w:cs="Arial"/>
                <w:sz w:val="20"/>
                <w:szCs w:val="20"/>
              </w:rPr>
              <w:t>.</w:t>
            </w:r>
            <w:r w:rsidR="00722675">
              <w:rPr>
                <w:rFonts w:ascii="Arial" w:hAnsi="Arial" w:cs="Arial"/>
                <w:sz w:val="20"/>
                <w:szCs w:val="20"/>
              </w:rPr>
              <w:t xml:space="preserve"> Le but est de compléter l’offre existante et permettre à chaque aidant d’obtenir une solution rapide et durable pour son bien être avant d’atteindre le point de rupture. La création de partenariat est donc </w:t>
            </w:r>
            <w:proofErr w:type="gramStart"/>
            <w:r w:rsidR="00722675">
              <w:rPr>
                <w:rFonts w:ascii="Arial" w:hAnsi="Arial" w:cs="Arial"/>
                <w:sz w:val="20"/>
                <w:szCs w:val="20"/>
              </w:rPr>
              <w:t>essentiel</w:t>
            </w:r>
            <w:proofErr w:type="gramEnd"/>
            <w:r w:rsidR="00722675">
              <w:rPr>
                <w:rFonts w:ascii="Arial" w:hAnsi="Arial" w:cs="Arial"/>
                <w:sz w:val="20"/>
                <w:szCs w:val="20"/>
              </w:rPr>
              <w:t xml:space="preserve"> pour une complémentarité.</w:t>
            </w:r>
          </w:p>
          <w:p w:rsidR="00722675" w:rsidRDefault="00722675" w:rsidP="004D3F4C">
            <w:pPr>
              <w:jc w:val="both"/>
              <w:rPr>
                <w:rFonts w:ascii="Arial" w:hAnsi="Arial" w:cs="Arial"/>
                <w:sz w:val="20"/>
                <w:szCs w:val="20"/>
              </w:rPr>
            </w:pPr>
          </w:p>
          <w:p w:rsidR="00722675" w:rsidRDefault="00722675" w:rsidP="00722675">
            <w:pPr>
              <w:pStyle w:val="Paragraphedeliste"/>
              <w:numPr>
                <w:ilvl w:val="0"/>
                <w:numId w:val="8"/>
              </w:numPr>
              <w:jc w:val="both"/>
              <w:rPr>
                <w:rFonts w:ascii="Arial" w:hAnsi="Arial" w:cs="Arial"/>
                <w:sz w:val="20"/>
                <w:szCs w:val="20"/>
              </w:rPr>
            </w:pPr>
            <w:r>
              <w:rPr>
                <w:rFonts w:ascii="Arial" w:hAnsi="Arial" w:cs="Arial"/>
                <w:sz w:val="20"/>
                <w:szCs w:val="20"/>
              </w:rPr>
              <w:t>Offre de service de la structure</w:t>
            </w:r>
          </w:p>
          <w:p w:rsidR="00722675" w:rsidRDefault="00722675" w:rsidP="00722675">
            <w:pPr>
              <w:jc w:val="both"/>
              <w:rPr>
                <w:rFonts w:ascii="Arial" w:hAnsi="Arial" w:cs="Arial"/>
                <w:sz w:val="20"/>
                <w:szCs w:val="20"/>
              </w:rPr>
            </w:pPr>
          </w:p>
          <w:p w:rsidR="00722675" w:rsidRDefault="00722675" w:rsidP="00722675">
            <w:pPr>
              <w:jc w:val="both"/>
              <w:rPr>
                <w:rFonts w:ascii="Arial" w:hAnsi="Arial" w:cs="Arial"/>
                <w:sz w:val="20"/>
                <w:szCs w:val="20"/>
              </w:rPr>
            </w:pPr>
            <w:r>
              <w:rPr>
                <w:rFonts w:ascii="Arial" w:hAnsi="Arial" w:cs="Arial"/>
                <w:sz w:val="20"/>
                <w:szCs w:val="20"/>
              </w:rPr>
              <w:t>La structure sera juridiquement portée par une association permettant ainsi de faire appel au bénévolat.</w:t>
            </w:r>
          </w:p>
          <w:p w:rsidR="00722675" w:rsidRDefault="00722675" w:rsidP="00722675">
            <w:pPr>
              <w:jc w:val="both"/>
              <w:rPr>
                <w:rFonts w:ascii="Arial" w:hAnsi="Arial" w:cs="Arial"/>
                <w:sz w:val="20"/>
                <w:szCs w:val="20"/>
              </w:rPr>
            </w:pPr>
            <w:r>
              <w:rPr>
                <w:rFonts w:ascii="Arial" w:hAnsi="Arial" w:cs="Arial"/>
                <w:sz w:val="20"/>
                <w:szCs w:val="20"/>
              </w:rPr>
              <w:t>L’</w:t>
            </w:r>
            <w:proofErr w:type="spellStart"/>
            <w:r>
              <w:rPr>
                <w:rFonts w:ascii="Arial" w:hAnsi="Arial" w:cs="Arial"/>
                <w:sz w:val="20"/>
                <w:szCs w:val="20"/>
              </w:rPr>
              <w:t>assocation</w:t>
            </w:r>
            <w:proofErr w:type="spellEnd"/>
            <w:r>
              <w:rPr>
                <w:rFonts w:ascii="Arial" w:hAnsi="Arial" w:cs="Arial"/>
                <w:sz w:val="20"/>
                <w:szCs w:val="20"/>
              </w:rPr>
              <w:t xml:space="preserve"> proposera :</w:t>
            </w:r>
            <w:r w:rsidR="00DD4714">
              <w:rPr>
                <w:rFonts w:ascii="Arial" w:hAnsi="Arial" w:cs="Arial"/>
                <w:sz w:val="20"/>
                <w:szCs w:val="20"/>
              </w:rPr>
              <w:t xml:space="preserve"> </w:t>
            </w:r>
          </w:p>
          <w:p w:rsidR="00DD4714" w:rsidRDefault="00DD4714" w:rsidP="00DD4714">
            <w:pPr>
              <w:pStyle w:val="Paragraphedeliste"/>
              <w:numPr>
                <w:ilvl w:val="0"/>
                <w:numId w:val="10"/>
              </w:numPr>
              <w:jc w:val="both"/>
              <w:rPr>
                <w:rFonts w:ascii="Arial" w:hAnsi="Arial" w:cs="Arial"/>
                <w:sz w:val="20"/>
                <w:szCs w:val="20"/>
              </w:rPr>
            </w:pPr>
            <w:r>
              <w:rPr>
                <w:rFonts w:ascii="Arial" w:hAnsi="Arial" w:cs="Arial"/>
                <w:sz w:val="20"/>
                <w:szCs w:val="20"/>
              </w:rPr>
              <w:t>Une présence à domicile assurée en fonction du GIR de l’aidé par un service civique, un bénévole ou un professionnel. En cas d’absence de solution disponible, le coordinateur de la structure sera en charge de trouver une alternative auprès des structures partenaires.</w:t>
            </w:r>
          </w:p>
          <w:p w:rsidR="00DD4714" w:rsidRDefault="00DD4714" w:rsidP="00DD4714">
            <w:pPr>
              <w:pStyle w:val="Paragraphedeliste"/>
              <w:numPr>
                <w:ilvl w:val="0"/>
                <w:numId w:val="10"/>
              </w:numPr>
              <w:jc w:val="both"/>
              <w:rPr>
                <w:rFonts w:ascii="Arial" w:hAnsi="Arial" w:cs="Arial"/>
                <w:sz w:val="20"/>
                <w:szCs w:val="20"/>
              </w:rPr>
            </w:pPr>
            <w:r>
              <w:rPr>
                <w:rFonts w:ascii="Arial" w:hAnsi="Arial" w:cs="Arial"/>
                <w:sz w:val="20"/>
                <w:szCs w:val="20"/>
              </w:rPr>
              <w:t xml:space="preserve">Une permanence de proximité, en utilisant des lieux bien identifiés comme les Centre socio culturel, les </w:t>
            </w:r>
            <w:proofErr w:type="spellStart"/>
            <w:r>
              <w:rPr>
                <w:rFonts w:ascii="Arial" w:hAnsi="Arial" w:cs="Arial"/>
                <w:sz w:val="20"/>
                <w:szCs w:val="20"/>
              </w:rPr>
              <w:t>periscolaires</w:t>
            </w:r>
            <w:proofErr w:type="spellEnd"/>
            <w:r>
              <w:rPr>
                <w:rFonts w:ascii="Arial" w:hAnsi="Arial" w:cs="Arial"/>
                <w:sz w:val="20"/>
                <w:szCs w:val="20"/>
              </w:rPr>
              <w:t>, la maison des ainés …</w:t>
            </w:r>
          </w:p>
          <w:p w:rsidR="00DD4714" w:rsidRDefault="00DD4714" w:rsidP="00DD4714">
            <w:pPr>
              <w:pStyle w:val="Paragraphedeliste"/>
              <w:numPr>
                <w:ilvl w:val="0"/>
                <w:numId w:val="10"/>
              </w:numPr>
              <w:jc w:val="both"/>
              <w:rPr>
                <w:rFonts w:ascii="Arial" w:hAnsi="Arial" w:cs="Arial"/>
                <w:sz w:val="20"/>
                <w:szCs w:val="20"/>
              </w:rPr>
            </w:pPr>
            <w:r>
              <w:rPr>
                <w:rFonts w:ascii="Arial" w:hAnsi="Arial" w:cs="Arial"/>
                <w:sz w:val="20"/>
                <w:szCs w:val="20"/>
              </w:rPr>
              <w:t>Une mise en relation avec des bénévoles pour l’accompagnement dans les taches courantes non assurées par d’autres services, via une plateforme géré</w:t>
            </w:r>
            <w:r w:rsidR="00282CC9">
              <w:rPr>
                <w:rFonts w:ascii="Arial" w:hAnsi="Arial" w:cs="Arial"/>
                <w:sz w:val="20"/>
                <w:szCs w:val="20"/>
              </w:rPr>
              <w:t>e</w:t>
            </w:r>
            <w:r>
              <w:rPr>
                <w:rFonts w:ascii="Arial" w:hAnsi="Arial" w:cs="Arial"/>
                <w:sz w:val="20"/>
                <w:szCs w:val="20"/>
              </w:rPr>
              <w:t xml:space="preserve"> par l’association. Cette plateforme permettra de mettre en lien un bénévole et un aidant ou un aidé sans aidant. (</w:t>
            </w:r>
            <w:proofErr w:type="gramStart"/>
            <w:r>
              <w:rPr>
                <w:rFonts w:ascii="Arial" w:hAnsi="Arial" w:cs="Arial"/>
                <w:sz w:val="20"/>
                <w:szCs w:val="20"/>
              </w:rPr>
              <w:t>exemple</w:t>
            </w:r>
            <w:proofErr w:type="gramEnd"/>
            <w:r>
              <w:rPr>
                <w:rFonts w:ascii="Arial" w:hAnsi="Arial" w:cs="Arial"/>
                <w:sz w:val="20"/>
                <w:szCs w:val="20"/>
              </w:rPr>
              <w:t> : ma ma</w:t>
            </w:r>
            <w:r w:rsidR="00282CC9">
              <w:rPr>
                <w:rFonts w:ascii="Arial" w:hAnsi="Arial" w:cs="Arial"/>
                <w:sz w:val="20"/>
                <w:szCs w:val="20"/>
              </w:rPr>
              <w:t>m</w:t>
            </w:r>
            <w:r>
              <w:rPr>
                <w:rFonts w:ascii="Arial" w:hAnsi="Arial" w:cs="Arial"/>
                <w:sz w:val="20"/>
                <w:szCs w:val="20"/>
              </w:rPr>
              <w:t>ie doit aller au coiffeur mais personne n’est disponible pour l’amener, je publie une annonce sur le site et un bénévole se porte volontaire pour l’amener).</w:t>
            </w:r>
          </w:p>
          <w:p w:rsidR="00DD4714" w:rsidRDefault="00DD4714" w:rsidP="00DD4714">
            <w:pPr>
              <w:pStyle w:val="Paragraphedeliste"/>
              <w:numPr>
                <w:ilvl w:val="0"/>
                <w:numId w:val="10"/>
              </w:numPr>
              <w:jc w:val="both"/>
              <w:rPr>
                <w:rFonts w:ascii="Arial" w:hAnsi="Arial" w:cs="Arial"/>
                <w:sz w:val="20"/>
                <w:szCs w:val="20"/>
              </w:rPr>
            </w:pPr>
            <w:r>
              <w:rPr>
                <w:rFonts w:ascii="Arial" w:hAnsi="Arial" w:cs="Arial"/>
                <w:sz w:val="20"/>
                <w:szCs w:val="20"/>
              </w:rPr>
              <w:t xml:space="preserve">Un conseil des aidants : lieu d’expression des besoins des aidants </w:t>
            </w:r>
            <w:r w:rsidR="00282CC9">
              <w:rPr>
                <w:rFonts w:ascii="Arial" w:hAnsi="Arial" w:cs="Arial"/>
                <w:sz w:val="20"/>
                <w:szCs w:val="20"/>
              </w:rPr>
              <w:t>afin de faire évoluer l’offre de l’association en fonction des besoins de ceux-ci.</w:t>
            </w:r>
          </w:p>
          <w:p w:rsidR="00282CC9" w:rsidRDefault="00282CC9" w:rsidP="00DD4714">
            <w:pPr>
              <w:pStyle w:val="Paragraphedeliste"/>
              <w:numPr>
                <w:ilvl w:val="0"/>
                <w:numId w:val="10"/>
              </w:numPr>
              <w:jc w:val="both"/>
              <w:rPr>
                <w:rFonts w:ascii="Arial" w:hAnsi="Arial" w:cs="Arial"/>
                <w:sz w:val="20"/>
                <w:szCs w:val="20"/>
              </w:rPr>
            </w:pPr>
            <w:r>
              <w:rPr>
                <w:rFonts w:ascii="Arial" w:hAnsi="Arial" w:cs="Arial"/>
                <w:sz w:val="20"/>
                <w:szCs w:val="20"/>
              </w:rPr>
              <w:t xml:space="preserve">De relayer les informations des actions de prévention du territoire et proposera une offre d’activités à destination des aidants et des </w:t>
            </w:r>
            <w:proofErr w:type="spellStart"/>
            <w:proofErr w:type="gramStart"/>
            <w:r>
              <w:rPr>
                <w:rFonts w:ascii="Arial" w:hAnsi="Arial" w:cs="Arial"/>
                <w:sz w:val="20"/>
                <w:szCs w:val="20"/>
              </w:rPr>
              <w:t>aidés.Cette</w:t>
            </w:r>
            <w:proofErr w:type="spellEnd"/>
            <w:proofErr w:type="gramEnd"/>
            <w:r>
              <w:rPr>
                <w:rFonts w:ascii="Arial" w:hAnsi="Arial" w:cs="Arial"/>
                <w:sz w:val="20"/>
                <w:szCs w:val="20"/>
              </w:rPr>
              <w:t xml:space="preserve"> offre sera structurée en fonction du diagnostic réalisé.</w:t>
            </w:r>
          </w:p>
          <w:p w:rsidR="00BA3A71" w:rsidRPr="00DD4714" w:rsidRDefault="00BA3A71" w:rsidP="00DD4714">
            <w:pPr>
              <w:pStyle w:val="Paragraphedeliste"/>
              <w:numPr>
                <w:ilvl w:val="0"/>
                <w:numId w:val="10"/>
              </w:numPr>
              <w:jc w:val="both"/>
              <w:rPr>
                <w:rFonts w:ascii="Arial" w:hAnsi="Arial" w:cs="Arial"/>
                <w:sz w:val="20"/>
                <w:szCs w:val="20"/>
              </w:rPr>
            </w:pPr>
            <w:r>
              <w:rPr>
                <w:rFonts w:ascii="Arial" w:hAnsi="Arial" w:cs="Arial"/>
                <w:sz w:val="20"/>
                <w:szCs w:val="20"/>
              </w:rPr>
              <w:t xml:space="preserve">D’être présent sur des lieux publics pour faire reconnaitre et connaitre le </w:t>
            </w:r>
            <w:proofErr w:type="spellStart"/>
            <w:r>
              <w:rPr>
                <w:rFonts w:ascii="Arial" w:hAnsi="Arial" w:cs="Arial"/>
                <w:sz w:val="20"/>
                <w:szCs w:val="20"/>
              </w:rPr>
              <w:t>role</w:t>
            </w:r>
            <w:proofErr w:type="spellEnd"/>
            <w:r>
              <w:rPr>
                <w:rFonts w:ascii="Arial" w:hAnsi="Arial" w:cs="Arial"/>
                <w:sz w:val="20"/>
                <w:szCs w:val="20"/>
              </w:rPr>
              <w:t xml:space="preserve"> d’aidant, des conférences et des débats autour de la thématique.</w:t>
            </w:r>
          </w:p>
          <w:bookmarkEnd w:id="8"/>
          <w:bookmarkEnd w:id="9"/>
          <w:p w:rsidR="00722675" w:rsidRPr="001A03D9" w:rsidRDefault="00722675" w:rsidP="001A03D9">
            <w:pPr>
              <w:jc w:val="both"/>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5C4530" w:rsidP="008B1140">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2E5AF9">
              <w:rPr>
                <w:rFonts w:ascii="Arial" w:hAnsi="Arial" w:cs="Arial"/>
                <w:sz w:val="20"/>
                <w:szCs w:val="20"/>
              </w:rPr>
              <w:fldChar w:fldCharType="begin">
                <w:ffData>
                  <w:name w:val=""/>
                  <w:enabled/>
                  <w:calcOnExit w:val="0"/>
                  <w:checkBox>
                    <w:sizeAuto/>
                    <w:default w:val="1"/>
                  </w:checkBox>
                </w:ffData>
              </w:fldChar>
            </w:r>
            <w:r w:rsidR="002E5AF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002E5AF9">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Début :</w:t>
            </w:r>
            <w:r w:rsidR="00B30CB5">
              <w:rPr>
                <w:rFonts w:ascii="Arial" w:hAnsi="Arial" w:cs="Arial"/>
                <w:sz w:val="20"/>
                <w:szCs w:val="20"/>
              </w:rPr>
              <w:t xml:space="preserve">  </w:t>
            </w:r>
            <w:r w:rsidR="002E5AF9">
              <w:rPr>
                <w:rFonts w:ascii="Arial" w:hAnsi="Arial" w:cs="Arial"/>
                <w:sz w:val="20"/>
                <w:szCs w:val="20"/>
              </w:rPr>
              <w:t>2023</w:t>
            </w:r>
            <w:r w:rsidR="00B30CB5">
              <w:rPr>
                <w:rFonts w:ascii="Arial" w:hAnsi="Arial" w:cs="Arial"/>
                <w:sz w:val="20"/>
                <w:szCs w:val="20"/>
              </w:rPr>
              <w:t xml:space="preserve">                            </w:t>
            </w:r>
            <w:r>
              <w:rPr>
                <w:rFonts w:ascii="Arial" w:hAnsi="Arial" w:cs="Arial"/>
                <w:sz w:val="20"/>
                <w:szCs w:val="20"/>
              </w:rPr>
              <w:t xml:space="preserve"> Fin : </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5843B6" w:rsidRPr="00354DE9" w:rsidRDefault="005843B6" w:rsidP="00F16670">
            <w:pPr>
              <w:rPr>
                <w:rFonts w:ascii="Arial" w:hAnsi="Arial" w:cs="Arial"/>
                <w:sz w:val="20"/>
                <w:szCs w:val="20"/>
              </w:rPr>
            </w:pPr>
          </w:p>
        </w:tc>
      </w:tr>
      <w:tr w:rsidR="0046751A" w:rsidRPr="00354DE9" w:rsidTr="00996C61">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rsidR="00AC64C8"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46751A" w:rsidRPr="00EA7DFE" w:rsidRDefault="002E5AF9"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605EA8"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487"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lastRenderedPageBreak/>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605EA8" w:rsidP="00BA59FE">
            <w:pPr>
              <w:tabs>
                <w:tab w:val="left" w:pos="3123"/>
              </w:tabs>
              <w:rPr>
                <w:rFonts w:ascii="Arial" w:eastAsia="Times New Roman" w:hAnsi="Arial" w:cs="Arial"/>
                <w:sz w:val="20"/>
                <w:szCs w:val="20"/>
                <w:lang w:eastAsia="fr-FR"/>
              </w:rPr>
            </w:pPr>
            <w:r>
              <w:rPr>
                <w:rFonts w:ascii="Arial" w:hAnsi="Arial" w:cs="Arial"/>
                <w:sz w:val="20"/>
                <w:szCs w:val="20"/>
              </w:rPr>
              <w:lastRenderedPageBreak/>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B30CB5"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lastRenderedPageBreak/>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A44738" w:rsidP="00F16670">
            <w:pPr>
              <w:rPr>
                <w:rFonts w:ascii="Arial" w:hAnsi="Arial" w:cs="Arial"/>
                <w:sz w:val="20"/>
                <w:szCs w:val="20"/>
              </w:rPr>
            </w:pPr>
            <w:r>
              <w:rPr>
                <w:rFonts w:ascii="Arial" w:hAnsi="Arial" w:cs="Arial"/>
                <w:sz w:val="20"/>
                <w:szCs w:val="20"/>
              </w:rPr>
              <w:t xml:space="preserve">Pays </w:t>
            </w:r>
            <w:r w:rsidR="0027785F">
              <w:rPr>
                <w:rFonts w:ascii="Arial" w:hAnsi="Arial" w:cs="Arial"/>
                <w:sz w:val="20"/>
                <w:szCs w:val="20"/>
              </w:rPr>
              <w:t>d</w:t>
            </w:r>
            <w:r>
              <w:rPr>
                <w:rFonts w:ascii="Arial" w:hAnsi="Arial" w:cs="Arial"/>
                <w:sz w:val="20"/>
                <w:szCs w:val="20"/>
              </w:rPr>
              <w:t>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7452AB" w:rsidRPr="00354DE9" w:rsidRDefault="007452AB" w:rsidP="00F16670">
            <w:pPr>
              <w:rPr>
                <w:rFonts w:ascii="Arial" w:hAnsi="Arial" w:cs="Arial"/>
                <w:sz w:val="20"/>
                <w:szCs w:val="20"/>
              </w:rPr>
            </w:pP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Pr="00354DE9" w:rsidRDefault="00F71D52" w:rsidP="00F16670">
            <w:pPr>
              <w:rPr>
                <w:rFonts w:ascii="Arial" w:hAnsi="Arial" w:cs="Arial"/>
                <w:sz w:val="20"/>
                <w:szCs w:val="20"/>
              </w:rPr>
            </w:pP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Pr="00354DE9" w:rsidRDefault="00F71D52" w:rsidP="00F16670">
            <w:pPr>
              <w:rPr>
                <w:rFonts w:ascii="Arial" w:hAnsi="Arial" w:cs="Arial"/>
                <w:sz w:val="20"/>
                <w:szCs w:val="20"/>
              </w:rPr>
            </w:pP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rsidR="00143098" w:rsidRPr="00354DE9" w:rsidRDefault="00B30CB5"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10" w:name="CaseACocher61"/>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bookmarkEnd w:id="10"/>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BD43A8"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B30CB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AE0A6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BD43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B30CB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BD43A8" w:rsidP="00BD43A8">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B30CB5">
              <w:rPr>
                <w:rFonts w:ascii="Arial" w:hAnsi="Arial" w:cs="Arial"/>
                <w:sz w:val="20"/>
                <w:szCs w:val="20"/>
              </w:rPr>
              <w:fldChar w:fldCharType="begin">
                <w:ffData>
                  <w:name w:val=""/>
                  <w:enabled/>
                  <w:calcOnExit w:val="0"/>
                  <w:checkBox>
                    <w:sizeAuto/>
                    <w:default w:val="0"/>
                  </w:checkBox>
                </w:ffData>
              </w:fldChar>
            </w:r>
            <w:r w:rsidR="00B30CB5">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00B30CB5">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5B45F0" w:rsidRDefault="00DB1DCC" w:rsidP="00DB1DCC">
            <w:pPr>
              <w:spacing w:line="253" w:lineRule="atLeast"/>
              <w:rPr>
                <w:rFonts w:ascii="Arial" w:eastAsia="Times New Roman" w:hAnsi="Arial" w:cs="Arial"/>
                <w:bCs/>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BA42BC">
              <w:rPr>
                <w:rFonts w:ascii="Arial" w:hAnsi="Arial" w:cs="Arial"/>
                <w:sz w:val="20"/>
                <w:szCs w:val="20"/>
              </w:rPr>
            </w:r>
            <w:r w:rsidR="00BA42BC">
              <w:rPr>
                <w:rFonts w:ascii="Arial" w:hAnsi="Arial" w:cs="Arial"/>
                <w:sz w:val="20"/>
                <w:szCs w:val="20"/>
              </w:rPr>
              <w:fldChar w:fldCharType="separate"/>
            </w:r>
            <w:r w:rsidR="00D9224D" w:rsidRPr="00354DE9">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lastRenderedPageBreak/>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1772B5">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A44738" w:rsidRPr="001772B5" w:rsidRDefault="00A44738" w:rsidP="001772B5">
            <w:pPr>
              <w:jc w:val="both"/>
              <w:rPr>
                <w:rFonts w:ascii="Arial" w:hAnsi="Arial" w:cs="Arial"/>
                <w:sz w:val="20"/>
                <w:szCs w:val="20"/>
              </w:rPr>
            </w:pPr>
          </w:p>
          <w:p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rsidR="006C222A" w:rsidRPr="00413208" w:rsidRDefault="006C222A" w:rsidP="00F16670">
            <w:pPr>
              <w:spacing w:line="253" w:lineRule="atLeast"/>
              <w:rPr>
                <w:rFonts w:ascii="Arial" w:eastAsia="Times New Roman" w:hAnsi="Arial" w:cs="Arial"/>
                <w:b/>
                <w:bCs/>
                <w:i/>
                <w:sz w:val="20"/>
                <w:szCs w:val="20"/>
                <w:lang w:eastAsia="fr-FR"/>
              </w:rPr>
            </w:pPr>
          </w:p>
          <w:p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562D16" w:rsidRDefault="00562D16" w:rsidP="00F16670">
            <w:pPr>
              <w:spacing w:line="253" w:lineRule="atLeast"/>
              <w:rPr>
                <w:rFonts w:ascii="Arial" w:eastAsia="Times New Roman" w:hAnsi="Arial" w:cs="Arial"/>
                <w:bCs/>
                <w:i/>
                <w:sz w:val="20"/>
                <w:szCs w:val="20"/>
                <w:lang w:eastAsia="fr-FR"/>
              </w:rPr>
            </w:pP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EA7DFE" w:rsidRPr="00562D16" w:rsidRDefault="001772B5" w:rsidP="00F16670">
            <w:pPr>
              <w:spacing w:line="253" w:lineRule="atLeast"/>
              <w:rPr>
                <w:rFonts w:ascii="Arial" w:eastAsia="Times New Roman" w:hAnsi="Arial" w:cs="Arial"/>
                <w:b/>
                <w:bCs/>
                <w:i/>
                <w:sz w:val="20"/>
                <w:szCs w:val="20"/>
                <w:lang w:eastAsia="fr-FR"/>
              </w:rPr>
            </w:pPr>
            <w:proofErr w:type="spellStart"/>
            <w:r>
              <w:rPr>
                <w:rFonts w:ascii="Arial" w:eastAsia="Times New Roman" w:hAnsi="Arial" w:cs="Arial"/>
                <w:b/>
                <w:bCs/>
                <w:i/>
                <w:sz w:val="20"/>
                <w:szCs w:val="20"/>
                <w:lang w:eastAsia="fr-FR"/>
              </w:rPr>
              <w:t>Evaluaton</w:t>
            </w:r>
            <w:proofErr w:type="spellEnd"/>
            <w:r>
              <w:rPr>
                <w:rFonts w:ascii="Arial" w:eastAsia="Times New Roman" w:hAnsi="Arial" w:cs="Arial"/>
                <w:b/>
                <w:bCs/>
                <w:i/>
                <w:sz w:val="20"/>
                <w:szCs w:val="20"/>
                <w:lang w:eastAsia="fr-FR"/>
              </w:rPr>
              <w:t xml:space="preserve"> en interne</w:t>
            </w: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8E" w:rsidRDefault="00C2038E" w:rsidP="000F65D0">
      <w:pPr>
        <w:spacing w:after="0" w:line="240" w:lineRule="auto"/>
      </w:pPr>
      <w:r>
        <w:separator/>
      </w:r>
    </w:p>
  </w:endnote>
  <w:endnote w:type="continuationSeparator" w:id="0">
    <w:p w:rsidR="00C2038E" w:rsidRDefault="00C2038E"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8E" w:rsidRDefault="00C2038E" w:rsidP="000F65D0">
      <w:pPr>
        <w:spacing w:after="0" w:line="240" w:lineRule="auto"/>
      </w:pPr>
      <w:r>
        <w:separator/>
      </w:r>
    </w:p>
  </w:footnote>
  <w:footnote w:type="continuationSeparator" w:id="0">
    <w:p w:rsidR="00C2038E" w:rsidRDefault="00C2038E"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B70"/>
    <w:multiLevelType w:val="hybridMultilevel"/>
    <w:tmpl w:val="90360C72"/>
    <w:lvl w:ilvl="0" w:tplc="E7AC6C0C">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B6218"/>
    <w:multiLevelType w:val="hybridMultilevel"/>
    <w:tmpl w:val="DE7CEC42"/>
    <w:lvl w:ilvl="0" w:tplc="0ACA2A1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3"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1330C7"/>
    <w:multiLevelType w:val="multilevel"/>
    <w:tmpl w:val="F3EAF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D549E6"/>
    <w:multiLevelType w:val="multilevel"/>
    <w:tmpl w:val="A71ED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ED4A19"/>
    <w:multiLevelType w:val="hybridMultilevel"/>
    <w:tmpl w:val="BD6EA866"/>
    <w:lvl w:ilvl="0" w:tplc="6D0E32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2"/>
  </w:num>
  <w:num w:numId="6">
    <w:abstractNumId w:val="6"/>
  </w:num>
  <w:num w:numId="7">
    <w:abstractNumId w:val="4"/>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369F8"/>
    <w:rsid w:val="000415CE"/>
    <w:rsid w:val="000467C4"/>
    <w:rsid w:val="000663A6"/>
    <w:rsid w:val="0007266E"/>
    <w:rsid w:val="00081313"/>
    <w:rsid w:val="00081410"/>
    <w:rsid w:val="0009071D"/>
    <w:rsid w:val="00092B06"/>
    <w:rsid w:val="00095BF8"/>
    <w:rsid w:val="000B410A"/>
    <w:rsid w:val="000D20D5"/>
    <w:rsid w:val="000F65D0"/>
    <w:rsid w:val="00113CF4"/>
    <w:rsid w:val="00132058"/>
    <w:rsid w:val="001361D6"/>
    <w:rsid w:val="001415D0"/>
    <w:rsid w:val="00143098"/>
    <w:rsid w:val="001514A1"/>
    <w:rsid w:val="00155A3B"/>
    <w:rsid w:val="001772B5"/>
    <w:rsid w:val="001A03D9"/>
    <w:rsid w:val="001A363E"/>
    <w:rsid w:val="001B5676"/>
    <w:rsid w:val="001B66A4"/>
    <w:rsid w:val="001D2B35"/>
    <w:rsid w:val="001D3C27"/>
    <w:rsid w:val="001D5A64"/>
    <w:rsid w:val="001F3366"/>
    <w:rsid w:val="00200CC5"/>
    <w:rsid w:val="00220C2D"/>
    <w:rsid w:val="00232B63"/>
    <w:rsid w:val="00232D46"/>
    <w:rsid w:val="002369FA"/>
    <w:rsid w:val="00236FB1"/>
    <w:rsid w:val="0027785F"/>
    <w:rsid w:val="00282CC9"/>
    <w:rsid w:val="00283654"/>
    <w:rsid w:val="002A03EA"/>
    <w:rsid w:val="002B2249"/>
    <w:rsid w:val="002B64AB"/>
    <w:rsid w:val="002C3F5E"/>
    <w:rsid w:val="002C5D0C"/>
    <w:rsid w:val="002E030B"/>
    <w:rsid w:val="002E571E"/>
    <w:rsid w:val="002E5AF9"/>
    <w:rsid w:val="002F799F"/>
    <w:rsid w:val="00302BF2"/>
    <w:rsid w:val="00303F67"/>
    <w:rsid w:val="0031277A"/>
    <w:rsid w:val="00317EE6"/>
    <w:rsid w:val="003211AB"/>
    <w:rsid w:val="00354DE9"/>
    <w:rsid w:val="0036710F"/>
    <w:rsid w:val="0039458C"/>
    <w:rsid w:val="003B3017"/>
    <w:rsid w:val="003B50D4"/>
    <w:rsid w:val="003C1972"/>
    <w:rsid w:val="003C5A06"/>
    <w:rsid w:val="003C7858"/>
    <w:rsid w:val="003D3A7D"/>
    <w:rsid w:val="003D7039"/>
    <w:rsid w:val="003E06AB"/>
    <w:rsid w:val="003E6827"/>
    <w:rsid w:val="003F4186"/>
    <w:rsid w:val="00406721"/>
    <w:rsid w:val="00413208"/>
    <w:rsid w:val="004205F4"/>
    <w:rsid w:val="004438EA"/>
    <w:rsid w:val="004538FE"/>
    <w:rsid w:val="00454C16"/>
    <w:rsid w:val="0046751A"/>
    <w:rsid w:val="00470F3C"/>
    <w:rsid w:val="00485C93"/>
    <w:rsid w:val="00493814"/>
    <w:rsid w:val="00497CC6"/>
    <w:rsid w:val="004B09AF"/>
    <w:rsid w:val="004D2233"/>
    <w:rsid w:val="004D3F4C"/>
    <w:rsid w:val="004E3FC8"/>
    <w:rsid w:val="00514B68"/>
    <w:rsid w:val="00520A61"/>
    <w:rsid w:val="005259C1"/>
    <w:rsid w:val="005279BE"/>
    <w:rsid w:val="005424C3"/>
    <w:rsid w:val="00562D16"/>
    <w:rsid w:val="00565122"/>
    <w:rsid w:val="0057104E"/>
    <w:rsid w:val="00581B8F"/>
    <w:rsid w:val="005843B6"/>
    <w:rsid w:val="0058636E"/>
    <w:rsid w:val="00590386"/>
    <w:rsid w:val="005B3191"/>
    <w:rsid w:val="005B45F0"/>
    <w:rsid w:val="005C4530"/>
    <w:rsid w:val="005C6B90"/>
    <w:rsid w:val="005D223B"/>
    <w:rsid w:val="005E3E50"/>
    <w:rsid w:val="005F1C88"/>
    <w:rsid w:val="00603E4F"/>
    <w:rsid w:val="00605EA8"/>
    <w:rsid w:val="006075C2"/>
    <w:rsid w:val="006103D7"/>
    <w:rsid w:val="00635DD5"/>
    <w:rsid w:val="00642029"/>
    <w:rsid w:val="00645F05"/>
    <w:rsid w:val="00667A06"/>
    <w:rsid w:val="00683C9E"/>
    <w:rsid w:val="00697F84"/>
    <w:rsid w:val="006B21D0"/>
    <w:rsid w:val="006C222A"/>
    <w:rsid w:val="006C3FB0"/>
    <w:rsid w:val="006E7AC4"/>
    <w:rsid w:val="006E7EA4"/>
    <w:rsid w:val="006F6247"/>
    <w:rsid w:val="007006B6"/>
    <w:rsid w:val="0070294D"/>
    <w:rsid w:val="00722675"/>
    <w:rsid w:val="0072428A"/>
    <w:rsid w:val="00737BD8"/>
    <w:rsid w:val="007452AB"/>
    <w:rsid w:val="00765FA6"/>
    <w:rsid w:val="007A2C05"/>
    <w:rsid w:val="007A43F5"/>
    <w:rsid w:val="007C6079"/>
    <w:rsid w:val="007C733F"/>
    <w:rsid w:val="007D344D"/>
    <w:rsid w:val="007F5BDF"/>
    <w:rsid w:val="007F5EE5"/>
    <w:rsid w:val="008124C7"/>
    <w:rsid w:val="0083674A"/>
    <w:rsid w:val="0084326F"/>
    <w:rsid w:val="0085285D"/>
    <w:rsid w:val="00853973"/>
    <w:rsid w:val="00867184"/>
    <w:rsid w:val="00880675"/>
    <w:rsid w:val="00886D3B"/>
    <w:rsid w:val="008955BD"/>
    <w:rsid w:val="008B1140"/>
    <w:rsid w:val="008D6145"/>
    <w:rsid w:val="008D747C"/>
    <w:rsid w:val="008E00F9"/>
    <w:rsid w:val="008E2932"/>
    <w:rsid w:val="008E35E9"/>
    <w:rsid w:val="0090054A"/>
    <w:rsid w:val="0090317F"/>
    <w:rsid w:val="009302A4"/>
    <w:rsid w:val="00931A42"/>
    <w:rsid w:val="009507D8"/>
    <w:rsid w:val="00960EB5"/>
    <w:rsid w:val="00993EAA"/>
    <w:rsid w:val="00996C61"/>
    <w:rsid w:val="009B1DD7"/>
    <w:rsid w:val="009B2256"/>
    <w:rsid w:val="009D1504"/>
    <w:rsid w:val="009D2C12"/>
    <w:rsid w:val="009E216D"/>
    <w:rsid w:val="009E3C5B"/>
    <w:rsid w:val="009E5171"/>
    <w:rsid w:val="00A05F6F"/>
    <w:rsid w:val="00A06420"/>
    <w:rsid w:val="00A064B3"/>
    <w:rsid w:val="00A12491"/>
    <w:rsid w:val="00A17758"/>
    <w:rsid w:val="00A26463"/>
    <w:rsid w:val="00A35419"/>
    <w:rsid w:val="00A44738"/>
    <w:rsid w:val="00A50A11"/>
    <w:rsid w:val="00A52410"/>
    <w:rsid w:val="00A57895"/>
    <w:rsid w:val="00A65EA5"/>
    <w:rsid w:val="00A84D22"/>
    <w:rsid w:val="00A853BA"/>
    <w:rsid w:val="00A85539"/>
    <w:rsid w:val="00A91263"/>
    <w:rsid w:val="00A95222"/>
    <w:rsid w:val="00AA64E8"/>
    <w:rsid w:val="00AB46F7"/>
    <w:rsid w:val="00AC4E59"/>
    <w:rsid w:val="00AC4EAF"/>
    <w:rsid w:val="00AC64C8"/>
    <w:rsid w:val="00AD7CAA"/>
    <w:rsid w:val="00AE0A60"/>
    <w:rsid w:val="00B30CB5"/>
    <w:rsid w:val="00B3589D"/>
    <w:rsid w:val="00B6113B"/>
    <w:rsid w:val="00B63045"/>
    <w:rsid w:val="00B63C78"/>
    <w:rsid w:val="00B77E55"/>
    <w:rsid w:val="00B90206"/>
    <w:rsid w:val="00BA28B9"/>
    <w:rsid w:val="00BA3A71"/>
    <w:rsid w:val="00BA42BC"/>
    <w:rsid w:val="00BA59FE"/>
    <w:rsid w:val="00BA67BA"/>
    <w:rsid w:val="00BB4009"/>
    <w:rsid w:val="00BB46BC"/>
    <w:rsid w:val="00BC1EC3"/>
    <w:rsid w:val="00BC68A1"/>
    <w:rsid w:val="00BD43A8"/>
    <w:rsid w:val="00BD6522"/>
    <w:rsid w:val="00C064B1"/>
    <w:rsid w:val="00C108AC"/>
    <w:rsid w:val="00C2038E"/>
    <w:rsid w:val="00C20F50"/>
    <w:rsid w:val="00C24B6E"/>
    <w:rsid w:val="00C55AAD"/>
    <w:rsid w:val="00C64A31"/>
    <w:rsid w:val="00C66B41"/>
    <w:rsid w:val="00C67C76"/>
    <w:rsid w:val="00C861E6"/>
    <w:rsid w:val="00CA5EAF"/>
    <w:rsid w:val="00CB0C23"/>
    <w:rsid w:val="00CB1869"/>
    <w:rsid w:val="00CB2089"/>
    <w:rsid w:val="00CB54D6"/>
    <w:rsid w:val="00CE2A16"/>
    <w:rsid w:val="00CF332C"/>
    <w:rsid w:val="00CF4089"/>
    <w:rsid w:val="00CF5A01"/>
    <w:rsid w:val="00D06A10"/>
    <w:rsid w:val="00D207A0"/>
    <w:rsid w:val="00D26527"/>
    <w:rsid w:val="00D515D0"/>
    <w:rsid w:val="00D6315F"/>
    <w:rsid w:val="00D73E15"/>
    <w:rsid w:val="00D857D5"/>
    <w:rsid w:val="00D905AA"/>
    <w:rsid w:val="00D918EE"/>
    <w:rsid w:val="00D9224D"/>
    <w:rsid w:val="00D93E1D"/>
    <w:rsid w:val="00DB1DCC"/>
    <w:rsid w:val="00DC5BF0"/>
    <w:rsid w:val="00DD41B9"/>
    <w:rsid w:val="00DD4714"/>
    <w:rsid w:val="00DE7211"/>
    <w:rsid w:val="00E22823"/>
    <w:rsid w:val="00E4089D"/>
    <w:rsid w:val="00E42C22"/>
    <w:rsid w:val="00E71DC1"/>
    <w:rsid w:val="00E92D2D"/>
    <w:rsid w:val="00EA7DFE"/>
    <w:rsid w:val="00EB1BBA"/>
    <w:rsid w:val="00EC51E6"/>
    <w:rsid w:val="00ED0575"/>
    <w:rsid w:val="00EE1636"/>
    <w:rsid w:val="00EE519C"/>
    <w:rsid w:val="00F008ED"/>
    <w:rsid w:val="00F16670"/>
    <w:rsid w:val="00F4306F"/>
    <w:rsid w:val="00F47D59"/>
    <w:rsid w:val="00F56621"/>
    <w:rsid w:val="00F67A8A"/>
    <w:rsid w:val="00F71D52"/>
    <w:rsid w:val="00F743EE"/>
    <w:rsid w:val="00F77CFC"/>
    <w:rsid w:val="00F91A39"/>
    <w:rsid w:val="00F940FE"/>
    <w:rsid w:val="00FA242B"/>
    <w:rsid w:val="00FB0EB1"/>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0235"/>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23438B"/>
    <w:rsid w:val="0029299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BC1AB3"/>
    <w:rsid w:val="00CF0536"/>
    <w:rsid w:val="00D52621"/>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6160-EAF1-44C2-91C8-AB3BD5B3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1303</Words>
  <Characters>7168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PETR</cp:lastModifiedBy>
  <cp:revision>12</cp:revision>
  <cp:lastPrinted>2019-09-16T13:02:00Z</cp:lastPrinted>
  <dcterms:created xsi:type="dcterms:W3CDTF">2022-07-18T07:08:00Z</dcterms:created>
  <dcterms:modified xsi:type="dcterms:W3CDTF">2023-05-23T09:59:00Z</dcterms:modified>
</cp:coreProperties>
</file>