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D326AA">
              <w:t>7.2</w:t>
            </w:r>
          </w:p>
        </w:tc>
        <w:tc>
          <w:tcPr>
            <w:tcW w:w="6973" w:type="dxa"/>
            <w:gridSpan w:val="4"/>
            <w:tcBorders>
              <w:bottom w:val="single" w:sz="4" w:space="0" w:color="auto"/>
            </w:tcBorders>
            <w:shd w:val="clear" w:color="auto" w:fill="FFFFFF" w:themeFill="background1"/>
            <w:vAlign w:val="center"/>
          </w:tcPr>
          <w:p w:rsidR="00CF5A01" w:rsidRPr="00BA59FE" w:rsidRDefault="00D326AA" w:rsidP="008B1140">
            <w:pPr>
              <w:jc w:val="center"/>
              <w:rPr>
                <w:rFonts w:ascii="Helvetica" w:hAnsi="Helvetica" w:cs="Helvetica"/>
                <w:b/>
                <w:color w:val="000000"/>
                <w:shd w:val="clear" w:color="auto" w:fill="FFFFFF"/>
              </w:rPr>
            </w:pPr>
            <w:r>
              <w:rPr>
                <w:rFonts w:ascii="Helvetica" w:hAnsi="Helvetica" w:cs="Helvetica"/>
                <w:b/>
                <w:color w:val="000000"/>
                <w:shd w:val="clear" w:color="auto" w:fill="FFFFFF"/>
              </w:rPr>
              <w:t xml:space="preserve">Prévention des risques solaires </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09118B"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39458C">
              <w:rPr>
                <w:rFonts w:ascii="Arial" w:hAnsi="Arial" w:cs="Arial"/>
                <w:sz w:val="20"/>
                <w:szCs w:val="20"/>
              </w:rPr>
              <w:fldChar w:fldCharType="begin">
                <w:ffData>
                  <w:name w:val=""/>
                  <w:enabled/>
                  <w:calcOnExit w:val="0"/>
                  <w:checkBox>
                    <w:sizeAuto/>
                    <w:default w:val="0"/>
                  </w:checkBox>
                </w:ffData>
              </w:fldChar>
            </w:r>
            <w:r w:rsidR="0039458C">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0039458C">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B30CB5"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8B1140" w:rsidRPr="00CB1869" w:rsidRDefault="0009118B" w:rsidP="00CB1869">
            <w:pPr>
              <w:rPr>
                <w:rFonts w:ascii="Arial" w:hAnsi="Arial" w:cs="Arial"/>
                <w:i/>
                <w:sz w:val="20"/>
                <w:szCs w:val="20"/>
              </w:rPr>
            </w:pPr>
            <w:r>
              <w:rPr>
                <w:rFonts w:ascii="Arial" w:hAnsi="Arial" w:cs="Arial"/>
                <w:i/>
                <w:sz w:val="20"/>
                <w:szCs w:val="20"/>
              </w:rPr>
              <w:t>PETR du Pays de Saverne Plaine et Plateau</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09118B" w:rsidP="00CB1869">
            <w:pPr>
              <w:rPr>
                <w:rFonts w:ascii="Arial" w:hAnsi="Arial" w:cs="Arial"/>
                <w:i/>
                <w:sz w:val="20"/>
                <w:szCs w:val="20"/>
              </w:rPr>
            </w:pPr>
            <w:r>
              <w:rPr>
                <w:rFonts w:ascii="Arial" w:hAnsi="Arial" w:cs="Arial"/>
                <w:i/>
                <w:sz w:val="20"/>
                <w:szCs w:val="20"/>
              </w:rPr>
              <w:t xml:space="preserve">Chargée de mission santé </w:t>
            </w:r>
          </w:p>
        </w:tc>
      </w:tr>
      <w:tr w:rsidR="00302BF2" w:rsidRPr="00354DE9" w:rsidTr="0001578C">
        <w:trPr>
          <w:trHeight w:val="322"/>
          <w:jc w:val="center"/>
        </w:trPr>
        <w:tc>
          <w:tcPr>
            <w:tcW w:w="2547" w:type="dxa"/>
            <w:shd w:val="clear" w:color="auto" w:fill="auto"/>
            <w:vAlign w:val="center"/>
          </w:tcPr>
          <w:p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rsidR="00302BF2" w:rsidRPr="00CB1869" w:rsidRDefault="0009118B" w:rsidP="00CB1869">
            <w:pPr>
              <w:rPr>
                <w:rFonts w:ascii="Arial" w:hAnsi="Arial" w:cs="Arial"/>
                <w:i/>
                <w:sz w:val="20"/>
                <w:szCs w:val="20"/>
              </w:rPr>
            </w:pPr>
            <w:r>
              <w:rPr>
                <w:rFonts w:ascii="Arial" w:hAnsi="Arial" w:cs="Arial"/>
                <w:i/>
                <w:sz w:val="20"/>
                <w:szCs w:val="20"/>
              </w:rPr>
              <w:t xml:space="preserve">ARS / PETR </w:t>
            </w:r>
            <w:r w:rsidR="00D411E8">
              <w:rPr>
                <w:rFonts w:ascii="Arial" w:hAnsi="Arial" w:cs="Arial"/>
                <w:i/>
                <w:sz w:val="20"/>
                <w:szCs w:val="20"/>
              </w:rPr>
              <w:t xml:space="preserve">/ CSC / </w:t>
            </w:r>
            <w:r w:rsidR="00522E72">
              <w:rPr>
                <w:rFonts w:ascii="Arial" w:hAnsi="Arial" w:cs="Arial"/>
                <w:i/>
                <w:sz w:val="20"/>
                <w:szCs w:val="20"/>
              </w:rPr>
              <w:t>Professionnels du territoire</w:t>
            </w:r>
            <w:r w:rsidR="000B7FD6">
              <w:rPr>
                <w:rFonts w:ascii="Arial" w:hAnsi="Arial" w:cs="Arial"/>
                <w:i/>
                <w:sz w:val="20"/>
                <w:szCs w:val="20"/>
              </w:rPr>
              <w:t xml:space="preserve"> / MSA</w:t>
            </w: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Pr="00F743EE" w:rsidRDefault="0009118B" w:rsidP="00D9224D">
            <w:pPr>
              <w:rPr>
                <w:rFonts w:ascii="Arial" w:hAnsi="Arial" w:cs="Arial"/>
                <w:b/>
                <w:bCs/>
                <w:sz w:val="20"/>
                <w:szCs w:val="20"/>
              </w:rPr>
            </w:pPr>
            <w:r>
              <w:rPr>
                <w:rFonts w:ascii="Arial" w:hAnsi="Arial" w:cs="Arial"/>
                <w:b/>
                <w:bCs/>
                <w:sz w:val="20"/>
                <w:szCs w:val="20"/>
              </w:rPr>
              <w:t>Axe 7 : Santé environnementale</w:t>
            </w:r>
          </w:p>
        </w:tc>
      </w:tr>
      <w:tr w:rsidR="00354DE9" w:rsidRPr="00354DE9" w:rsidTr="00C55AAD">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rsidR="00CE1864" w:rsidRDefault="00491B06" w:rsidP="00AE0A60">
            <w:pPr>
              <w:jc w:val="both"/>
              <w:rPr>
                <w:rFonts w:ascii="Arial" w:hAnsi="Arial" w:cs="Arial"/>
                <w:sz w:val="20"/>
                <w:szCs w:val="20"/>
              </w:rPr>
            </w:pPr>
            <w:r>
              <w:rPr>
                <w:rFonts w:ascii="Arial" w:hAnsi="Arial" w:cs="Arial"/>
                <w:sz w:val="20"/>
                <w:szCs w:val="20"/>
              </w:rPr>
              <w:t xml:space="preserve">Les variations climatiques </w:t>
            </w:r>
            <w:r w:rsidR="00CE1864">
              <w:rPr>
                <w:rFonts w:ascii="Arial" w:hAnsi="Arial" w:cs="Arial"/>
                <w:sz w:val="20"/>
                <w:szCs w:val="20"/>
              </w:rPr>
              <w:t xml:space="preserve">sont de plus en plus </w:t>
            </w:r>
            <w:proofErr w:type="gramStart"/>
            <w:r w:rsidR="00CE1864">
              <w:rPr>
                <w:rFonts w:ascii="Arial" w:hAnsi="Arial" w:cs="Arial"/>
                <w:sz w:val="20"/>
                <w:szCs w:val="20"/>
              </w:rPr>
              <w:t>intense</w:t>
            </w:r>
            <w:proofErr w:type="gramEnd"/>
            <w:r w:rsidR="00CE1864">
              <w:rPr>
                <w:rFonts w:ascii="Arial" w:hAnsi="Arial" w:cs="Arial"/>
                <w:sz w:val="20"/>
                <w:szCs w:val="20"/>
              </w:rPr>
              <w:t xml:space="preserve"> et les pics de chaleurs deviennent plus intense</w:t>
            </w:r>
            <w:r w:rsidR="00F44C49">
              <w:rPr>
                <w:rFonts w:ascii="Arial" w:hAnsi="Arial" w:cs="Arial"/>
                <w:sz w:val="20"/>
                <w:szCs w:val="20"/>
              </w:rPr>
              <w:t>s</w:t>
            </w:r>
            <w:r w:rsidR="00CE1864">
              <w:rPr>
                <w:rFonts w:ascii="Arial" w:hAnsi="Arial" w:cs="Arial"/>
                <w:sz w:val="20"/>
                <w:szCs w:val="20"/>
              </w:rPr>
              <w:t xml:space="preserve"> et plus récurrent</w:t>
            </w:r>
            <w:r w:rsidR="00F44C49">
              <w:rPr>
                <w:rFonts w:ascii="Arial" w:hAnsi="Arial" w:cs="Arial"/>
                <w:sz w:val="20"/>
                <w:szCs w:val="20"/>
              </w:rPr>
              <w:t>s</w:t>
            </w:r>
            <w:r w:rsidR="00CE1864">
              <w:rPr>
                <w:rFonts w:ascii="Arial" w:hAnsi="Arial" w:cs="Arial"/>
                <w:sz w:val="20"/>
                <w:szCs w:val="20"/>
              </w:rPr>
              <w:t xml:space="preserve">. </w:t>
            </w:r>
          </w:p>
          <w:p w:rsidR="00CE1864" w:rsidRDefault="00CE1864" w:rsidP="00AE0A60">
            <w:pPr>
              <w:jc w:val="both"/>
              <w:rPr>
                <w:rFonts w:ascii="Arial" w:hAnsi="Arial" w:cs="Arial"/>
                <w:sz w:val="20"/>
                <w:szCs w:val="20"/>
              </w:rPr>
            </w:pPr>
          </w:p>
          <w:p w:rsidR="00CE1864" w:rsidRDefault="0010452D" w:rsidP="00AE0A60">
            <w:pPr>
              <w:jc w:val="both"/>
              <w:rPr>
                <w:rFonts w:ascii="Arial" w:hAnsi="Arial" w:cs="Arial"/>
                <w:sz w:val="20"/>
                <w:szCs w:val="20"/>
              </w:rPr>
            </w:pPr>
            <w:r>
              <w:rPr>
                <w:rFonts w:ascii="Arial" w:hAnsi="Arial" w:cs="Arial"/>
                <w:sz w:val="20"/>
                <w:szCs w:val="20"/>
              </w:rPr>
              <w:t xml:space="preserve">Les risques liés à ces pics de chaleur sont multiples : </w:t>
            </w:r>
          </w:p>
          <w:p w:rsidR="0010452D" w:rsidRDefault="0010452D" w:rsidP="0010452D">
            <w:pPr>
              <w:pStyle w:val="Paragraphedeliste"/>
              <w:numPr>
                <w:ilvl w:val="0"/>
                <w:numId w:val="9"/>
              </w:numPr>
              <w:jc w:val="both"/>
              <w:rPr>
                <w:rFonts w:ascii="Arial" w:hAnsi="Arial" w:cs="Arial"/>
                <w:sz w:val="20"/>
                <w:szCs w:val="20"/>
              </w:rPr>
            </w:pPr>
            <w:r>
              <w:rPr>
                <w:rFonts w:ascii="Arial" w:hAnsi="Arial" w:cs="Arial"/>
                <w:sz w:val="20"/>
                <w:szCs w:val="20"/>
              </w:rPr>
              <w:t>Risques dermatologiques (vieillissement prématuré, cancer …)</w:t>
            </w:r>
          </w:p>
          <w:p w:rsidR="0010452D" w:rsidRDefault="0010452D" w:rsidP="0010452D">
            <w:pPr>
              <w:pStyle w:val="Paragraphedeliste"/>
              <w:numPr>
                <w:ilvl w:val="0"/>
                <w:numId w:val="9"/>
              </w:numPr>
              <w:jc w:val="both"/>
              <w:rPr>
                <w:rFonts w:ascii="Arial" w:hAnsi="Arial" w:cs="Arial"/>
                <w:sz w:val="20"/>
                <w:szCs w:val="20"/>
              </w:rPr>
            </w:pPr>
            <w:r>
              <w:rPr>
                <w:rFonts w:ascii="Arial" w:hAnsi="Arial" w:cs="Arial"/>
                <w:sz w:val="20"/>
                <w:szCs w:val="20"/>
              </w:rPr>
              <w:t xml:space="preserve">Risques </w:t>
            </w:r>
            <w:proofErr w:type="spellStart"/>
            <w:r>
              <w:rPr>
                <w:rFonts w:ascii="Arial" w:hAnsi="Arial" w:cs="Arial"/>
                <w:sz w:val="20"/>
                <w:szCs w:val="20"/>
              </w:rPr>
              <w:t>occulaires</w:t>
            </w:r>
            <w:proofErr w:type="spellEnd"/>
            <w:r>
              <w:rPr>
                <w:rFonts w:ascii="Arial" w:hAnsi="Arial" w:cs="Arial"/>
                <w:sz w:val="20"/>
                <w:szCs w:val="20"/>
              </w:rPr>
              <w:t xml:space="preserve"> </w:t>
            </w:r>
          </w:p>
          <w:p w:rsidR="0010452D" w:rsidRDefault="0010452D" w:rsidP="0010452D">
            <w:pPr>
              <w:pStyle w:val="Paragraphedeliste"/>
              <w:numPr>
                <w:ilvl w:val="0"/>
                <w:numId w:val="9"/>
              </w:numPr>
              <w:jc w:val="both"/>
              <w:rPr>
                <w:rFonts w:ascii="Arial" w:hAnsi="Arial" w:cs="Arial"/>
                <w:sz w:val="20"/>
                <w:szCs w:val="20"/>
              </w:rPr>
            </w:pPr>
            <w:proofErr w:type="spellStart"/>
            <w:r>
              <w:rPr>
                <w:rFonts w:ascii="Arial" w:hAnsi="Arial" w:cs="Arial"/>
                <w:sz w:val="20"/>
                <w:szCs w:val="20"/>
              </w:rPr>
              <w:t>Déshydtration</w:t>
            </w:r>
            <w:proofErr w:type="spellEnd"/>
            <w:r>
              <w:rPr>
                <w:rFonts w:ascii="Arial" w:hAnsi="Arial" w:cs="Arial"/>
                <w:sz w:val="20"/>
                <w:szCs w:val="20"/>
              </w:rPr>
              <w:t xml:space="preserve">, coup de chaud </w:t>
            </w:r>
          </w:p>
          <w:p w:rsidR="002216CC" w:rsidRDefault="002216CC" w:rsidP="002216CC">
            <w:pPr>
              <w:jc w:val="both"/>
              <w:rPr>
                <w:rFonts w:ascii="Arial" w:hAnsi="Arial" w:cs="Arial"/>
                <w:sz w:val="20"/>
                <w:szCs w:val="20"/>
              </w:rPr>
            </w:pPr>
          </w:p>
          <w:p w:rsidR="002216CC" w:rsidRPr="002216CC" w:rsidRDefault="002216CC" w:rsidP="002216CC">
            <w:pPr>
              <w:jc w:val="both"/>
              <w:rPr>
                <w:rFonts w:ascii="Arial" w:hAnsi="Arial" w:cs="Arial"/>
                <w:sz w:val="20"/>
                <w:szCs w:val="20"/>
              </w:rPr>
            </w:pPr>
            <w:r>
              <w:rPr>
                <w:rFonts w:ascii="Arial" w:hAnsi="Arial" w:cs="Arial"/>
                <w:sz w:val="20"/>
                <w:szCs w:val="20"/>
              </w:rPr>
              <w:t>Ces risques peuvent être prévenu par des gestes simples et des communications efficaces.</w:t>
            </w:r>
          </w:p>
          <w:p w:rsidR="002216CC" w:rsidRDefault="002216CC" w:rsidP="0010452D">
            <w:pPr>
              <w:jc w:val="both"/>
              <w:rPr>
                <w:rFonts w:ascii="Arial" w:hAnsi="Arial" w:cs="Arial"/>
                <w:sz w:val="20"/>
                <w:szCs w:val="20"/>
              </w:rPr>
            </w:pPr>
          </w:p>
          <w:p w:rsidR="0010452D" w:rsidRDefault="002216CC" w:rsidP="0010452D">
            <w:pPr>
              <w:jc w:val="both"/>
              <w:rPr>
                <w:rFonts w:ascii="Arial" w:hAnsi="Arial" w:cs="Arial"/>
                <w:sz w:val="20"/>
                <w:szCs w:val="20"/>
              </w:rPr>
            </w:pPr>
            <w:r>
              <w:rPr>
                <w:rFonts w:ascii="Arial" w:hAnsi="Arial" w:cs="Arial"/>
                <w:sz w:val="20"/>
                <w:szCs w:val="20"/>
              </w:rPr>
              <w:t>D</w:t>
            </w:r>
            <w:r w:rsidR="0010452D">
              <w:rPr>
                <w:rFonts w:ascii="Arial" w:hAnsi="Arial" w:cs="Arial"/>
                <w:sz w:val="20"/>
                <w:szCs w:val="20"/>
              </w:rPr>
              <w:t xml:space="preserve">’autres </w:t>
            </w:r>
            <w:r w:rsidR="00F44C49">
              <w:rPr>
                <w:rFonts w:ascii="Arial" w:hAnsi="Arial" w:cs="Arial"/>
                <w:sz w:val="20"/>
                <w:szCs w:val="20"/>
              </w:rPr>
              <w:t xml:space="preserve">répercussions sont observables notamment chez les personnes âgées. La mise en place des plans canicules sont peu développés hors des agglomérations et </w:t>
            </w:r>
            <w:r>
              <w:rPr>
                <w:rFonts w:ascii="Arial" w:hAnsi="Arial" w:cs="Arial"/>
                <w:sz w:val="20"/>
                <w:szCs w:val="20"/>
              </w:rPr>
              <w:t>sont</w:t>
            </w:r>
            <w:r w:rsidR="00F44C49">
              <w:rPr>
                <w:rFonts w:ascii="Arial" w:hAnsi="Arial" w:cs="Arial"/>
                <w:sz w:val="20"/>
                <w:szCs w:val="20"/>
              </w:rPr>
              <w:t xml:space="preserve"> difficilement applicable</w:t>
            </w:r>
            <w:r>
              <w:rPr>
                <w:rFonts w:ascii="Arial" w:hAnsi="Arial" w:cs="Arial"/>
                <w:sz w:val="20"/>
                <w:szCs w:val="20"/>
              </w:rPr>
              <w:t>s</w:t>
            </w:r>
            <w:r w:rsidR="00F44C49">
              <w:rPr>
                <w:rFonts w:ascii="Arial" w:hAnsi="Arial" w:cs="Arial"/>
                <w:sz w:val="20"/>
                <w:szCs w:val="20"/>
              </w:rPr>
              <w:t xml:space="preserve"> dans les zones rurales du fait du recensement des personnes </w:t>
            </w:r>
            <w:proofErr w:type="spellStart"/>
            <w:r w:rsidR="00F44C49">
              <w:rPr>
                <w:rFonts w:ascii="Arial" w:hAnsi="Arial" w:cs="Arial"/>
                <w:sz w:val="20"/>
                <w:szCs w:val="20"/>
              </w:rPr>
              <w:t>âgees</w:t>
            </w:r>
            <w:proofErr w:type="spellEnd"/>
            <w:r w:rsidR="00F44C49">
              <w:rPr>
                <w:rFonts w:ascii="Arial" w:hAnsi="Arial" w:cs="Arial"/>
                <w:sz w:val="20"/>
                <w:szCs w:val="20"/>
              </w:rPr>
              <w:t xml:space="preserve"> et des ressources à mobiliser pour le réaliser. L’isolement est accentué lors de ses épisodes de fortes chaleurs et les personnes fragilisées se retrouvent donc démuni</w:t>
            </w:r>
            <w:r>
              <w:rPr>
                <w:rFonts w:ascii="Arial" w:hAnsi="Arial" w:cs="Arial"/>
                <w:sz w:val="20"/>
                <w:szCs w:val="20"/>
              </w:rPr>
              <w:t>e</w:t>
            </w:r>
            <w:r w:rsidR="00F44C49">
              <w:rPr>
                <w:rFonts w:ascii="Arial" w:hAnsi="Arial" w:cs="Arial"/>
                <w:sz w:val="20"/>
                <w:szCs w:val="20"/>
              </w:rPr>
              <w:t xml:space="preserve">s. </w:t>
            </w:r>
          </w:p>
          <w:p w:rsidR="00F44C49" w:rsidRDefault="00F44C49" w:rsidP="0010452D">
            <w:pPr>
              <w:jc w:val="both"/>
              <w:rPr>
                <w:rFonts w:ascii="Arial" w:hAnsi="Arial" w:cs="Arial"/>
                <w:sz w:val="20"/>
                <w:szCs w:val="20"/>
              </w:rPr>
            </w:pPr>
          </w:p>
          <w:p w:rsidR="00F44C49" w:rsidRDefault="00F44C49" w:rsidP="0010452D">
            <w:pPr>
              <w:jc w:val="both"/>
              <w:rPr>
                <w:rFonts w:ascii="Arial" w:hAnsi="Arial" w:cs="Arial"/>
                <w:sz w:val="20"/>
                <w:szCs w:val="20"/>
              </w:rPr>
            </w:pPr>
            <w:r>
              <w:rPr>
                <w:rFonts w:ascii="Arial" w:hAnsi="Arial" w:cs="Arial"/>
                <w:sz w:val="20"/>
                <w:szCs w:val="20"/>
              </w:rPr>
              <w:t>Le Pays de Saverne Plaine et Plateau souhaite donc mettre en place une action de prévention des risques solaires afin de protéger la population et notamment les plus fragiles.</w:t>
            </w:r>
          </w:p>
          <w:p w:rsidR="0010452D" w:rsidRPr="0010452D" w:rsidRDefault="0010452D" w:rsidP="0010452D">
            <w:pPr>
              <w:jc w:val="both"/>
              <w:rPr>
                <w:rFonts w:ascii="Arial" w:hAnsi="Arial" w:cs="Arial"/>
                <w:sz w:val="20"/>
                <w:szCs w:val="20"/>
              </w:rPr>
            </w:pP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09118B"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Pr>
                    <w:rFonts w:ascii="Arial" w:hAnsi="Arial" w:cs="Arial"/>
                    <w:sz w:val="20"/>
                    <w:szCs w:val="20"/>
                  </w:rPr>
                  <w:t xml:space="preserve">Objectif </w:t>
                </w:r>
              </w:sdtContent>
            </w:sdt>
          </w:p>
          <w:p w:rsidR="00E22823"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E0A60">
                  <w:rPr>
                    <w:rFonts w:ascii="Arial" w:hAnsi="Arial" w:cs="Arial"/>
                    <w:sz w:val="20"/>
                    <w:szCs w:val="20"/>
                  </w:rPr>
                  <w:t>Développer les connaissances et les compétences en santé environnement</w:t>
                </w:r>
              </w:sdtContent>
            </w:sdt>
          </w:p>
          <w:p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454C16">
            <w:pPr>
              <w:rPr>
                <w:rFonts w:ascii="Arial" w:hAnsi="Arial" w:cs="Arial"/>
                <w:b/>
                <w:sz w:val="20"/>
                <w:szCs w:val="20"/>
              </w:rPr>
            </w:pPr>
            <w:r>
              <w:rPr>
                <w:rFonts w:ascii="Arial" w:hAnsi="Arial" w:cs="Arial"/>
                <w:b/>
                <w:sz w:val="20"/>
                <w:szCs w:val="20"/>
              </w:rPr>
              <w:t xml:space="preserve">Objectif général </w:t>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8B1140" w:rsidRPr="00354DE9" w:rsidRDefault="0009118B" w:rsidP="00F16670">
            <w:pPr>
              <w:rPr>
                <w:rFonts w:ascii="Arial" w:hAnsi="Arial" w:cs="Arial"/>
                <w:sz w:val="20"/>
                <w:szCs w:val="20"/>
              </w:rPr>
            </w:pPr>
            <w:r>
              <w:rPr>
                <w:rFonts w:ascii="Arial" w:hAnsi="Arial" w:cs="Arial"/>
                <w:sz w:val="20"/>
                <w:szCs w:val="20"/>
              </w:rPr>
              <w:t>Prévenir les risques solaires sur le territoire du Pays de Saverne Plaine et Plateau</w:t>
            </w:r>
          </w:p>
        </w:tc>
      </w:tr>
      <w:tr w:rsidR="00354DE9" w:rsidRPr="00354DE9" w:rsidTr="00EE1636">
        <w:trPr>
          <w:jc w:val="center"/>
        </w:trPr>
        <w:tc>
          <w:tcPr>
            <w:tcW w:w="2547" w:type="dxa"/>
            <w:shd w:val="clear" w:color="auto" w:fill="FFFFFF" w:themeFill="background1"/>
            <w:vAlign w:val="center"/>
          </w:tcPr>
          <w:p w:rsidR="009507D8" w:rsidRPr="00354DE9" w:rsidRDefault="009507D8" w:rsidP="00155A3B">
            <w:pPr>
              <w:rPr>
                <w:rFonts w:ascii="Arial" w:hAnsi="Arial" w:cs="Arial"/>
                <w:b/>
                <w:sz w:val="20"/>
                <w:szCs w:val="20"/>
              </w:rPr>
            </w:pPr>
            <w:r w:rsidRPr="00354DE9">
              <w:rPr>
                <w:rFonts w:ascii="Arial" w:hAnsi="Arial" w:cs="Arial"/>
                <w:b/>
                <w:sz w:val="20"/>
                <w:szCs w:val="20"/>
              </w:rPr>
              <w:lastRenderedPageBreak/>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1D5A64" w:rsidRDefault="0009118B" w:rsidP="0009118B">
            <w:pPr>
              <w:pStyle w:val="Paragraphedeliste"/>
              <w:numPr>
                <w:ilvl w:val="0"/>
                <w:numId w:val="7"/>
              </w:numPr>
              <w:rPr>
                <w:rFonts w:ascii="Arial" w:hAnsi="Arial" w:cs="Arial"/>
                <w:sz w:val="20"/>
                <w:szCs w:val="20"/>
              </w:rPr>
            </w:pPr>
            <w:r>
              <w:rPr>
                <w:rFonts w:ascii="Arial" w:hAnsi="Arial" w:cs="Arial"/>
                <w:sz w:val="20"/>
                <w:szCs w:val="20"/>
              </w:rPr>
              <w:t xml:space="preserve">Sensibiliser les habitants du territoire aux risques solaires </w:t>
            </w:r>
          </w:p>
          <w:p w:rsidR="0009118B" w:rsidRDefault="0009118B" w:rsidP="0009118B">
            <w:pPr>
              <w:pStyle w:val="Paragraphedeliste"/>
              <w:numPr>
                <w:ilvl w:val="0"/>
                <w:numId w:val="7"/>
              </w:numPr>
              <w:rPr>
                <w:rFonts w:ascii="Arial" w:hAnsi="Arial" w:cs="Arial"/>
                <w:sz w:val="20"/>
                <w:szCs w:val="20"/>
              </w:rPr>
            </w:pPr>
            <w:r>
              <w:rPr>
                <w:rFonts w:ascii="Arial" w:hAnsi="Arial" w:cs="Arial"/>
                <w:sz w:val="20"/>
                <w:szCs w:val="20"/>
              </w:rPr>
              <w:t xml:space="preserve">Collaborer avec les professionnels de santé du territoire </w:t>
            </w:r>
          </w:p>
          <w:p w:rsidR="00D411E8" w:rsidRPr="0009118B" w:rsidRDefault="00D411E8" w:rsidP="0009118B">
            <w:pPr>
              <w:pStyle w:val="Paragraphedeliste"/>
              <w:numPr>
                <w:ilvl w:val="0"/>
                <w:numId w:val="7"/>
              </w:numPr>
              <w:rPr>
                <w:rFonts w:ascii="Arial" w:hAnsi="Arial" w:cs="Arial"/>
                <w:sz w:val="20"/>
                <w:szCs w:val="20"/>
              </w:rPr>
            </w:pPr>
            <w:r>
              <w:rPr>
                <w:rFonts w:ascii="Arial" w:hAnsi="Arial" w:cs="Arial"/>
                <w:sz w:val="20"/>
                <w:szCs w:val="20"/>
              </w:rPr>
              <w:t xml:space="preserve">Prévenir les risques </w:t>
            </w:r>
            <w:r w:rsidR="002216CC">
              <w:rPr>
                <w:rFonts w:ascii="Arial" w:hAnsi="Arial" w:cs="Arial"/>
                <w:sz w:val="20"/>
                <w:szCs w:val="20"/>
              </w:rPr>
              <w:t>liés à la</w:t>
            </w:r>
            <w:r>
              <w:rPr>
                <w:rFonts w:ascii="Arial" w:hAnsi="Arial" w:cs="Arial"/>
                <w:sz w:val="20"/>
                <w:szCs w:val="20"/>
              </w:rPr>
              <w:t xml:space="preserve"> chaleur</w:t>
            </w:r>
            <w:r w:rsidR="002216CC">
              <w:rPr>
                <w:rFonts w:ascii="Arial" w:hAnsi="Arial" w:cs="Arial"/>
                <w:sz w:val="20"/>
                <w:szCs w:val="20"/>
              </w:rPr>
              <w:t xml:space="preserve"> </w:t>
            </w:r>
            <w:r>
              <w:rPr>
                <w:rFonts w:ascii="Arial" w:hAnsi="Arial" w:cs="Arial"/>
                <w:sz w:val="20"/>
                <w:szCs w:val="20"/>
              </w:rPr>
              <w:t xml:space="preserve">chez les </w:t>
            </w:r>
            <w:r w:rsidR="002216CC">
              <w:rPr>
                <w:rFonts w:ascii="Arial" w:hAnsi="Arial" w:cs="Arial"/>
                <w:sz w:val="20"/>
                <w:szCs w:val="20"/>
              </w:rPr>
              <w:t>personne</w:t>
            </w:r>
            <w:r>
              <w:rPr>
                <w:rFonts w:ascii="Arial" w:hAnsi="Arial" w:cs="Arial"/>
                <w:sz w:val="20"/>
                <w:szCs w:val="20"/>
              </w:rPr>
              <w:t xml:space="preserve">s </w:t>
            </w:r>
            <w:r w:rsidR="002216CC">
              <w:rPr>
                <w:rFonts w:ascii="Arial" w:hAnsi="Arial" w:cs="Arial"/>
                <w:sz w:val="20"/>
                <w:szCs w:val="20"/>
              </w:rPr>
              <w:t>âgé</w:t>
            </w:r>
            <w:r>
              <w:rPr>
                <w:rFonts w:ascii="Arial" w:hAnsi="Arial" w:cs="Arial"/>
                <w:sz w:val="20"/>
                <w:szCs w:val="20"/>
              </w:rPr>
              <w:t>es</w:t>
            </w:r>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rsidR="00A44738" w:rsidRPr="0009118B" w:rsidRDefault="0009118B" w:rsidP="0009118B">
            <w:pPr>
              <w:pStyle w:val="Paragraphedeliste"/>
              <w:numPr>
                <w:ilvl w:val="1"/>
                <w:numId w:val="8"/>
              </w:numPr>
              <w:rPr>
                <w:rFonts w:ascii="Arial" w:hAnsi="Arial" w:cs="Arial"/>
                <w:sz w:val="20"/>
                <w:szCs w:val="20"/>
              </w:rPr>
            </w:pPr>
            <w:r w:rsidRPr="0009118B">
              <w:rPr>
                <w:rFonts w:ascii="Arial" w:hAnsi="Arial" w:cs="Arial"/>
                <w:sz w:val="20"/>
                <w:szCs w:val="20"/>
              </w:rPr>
              <w:t xml:space="preserve">Faire une campagne annuelle d’affichage </w:t>
            </w:r>
          </w:p>
          <w:p w:rsidR="0009118B" w:rsidRDefault="0009118B" w:rsidP="0009118B">
            <w:pPr>
              <w:pStyle w:val="Paragraphedeliste"/>
              <w:numPr>
                <w:ilvl w:val="1"/>
                <w:numId w:val="8"/>
              </w:numPr>
              <w:rPr>
                <w:rFonts w:ascii="Arial" w:hAnsi="Arial" w:cs="Arial"/>
                <w:sz w:val="20"/>
                <w:szCs w:val="20"/>
              </w:rPr>
            </w:pPr>
            <w:r>
              <w:rPr>
                <w:rFonts w:ascii="Arial" w:hAnsi="Arial" w:cs="Arial"/>
                <w:sz w:val="20"/>
                <w:szCs w:val="20"/>
              </w:rPr>
              <w:t xml:space="preserve">Organiser un cycle de conférence sur les risques solaire </w:t>
            </w:r>
          </w:p>
          <w:p w:rsidR="0009118B" w:rsidRDefault="0009118B" w:rsidP="0009118B">
            <w:pPr>
              <w:rPr>
                <w:rFonts w:ascii="Arial" w:hAnsi="Arial" w:cs="Arial"/>
                <w:sz w:val="20"/>
                <w:szCs w:val="20"/>
              </w:rPr>
            </w:pPr>
          </w:p>
          <w:p w:rsidR="0009118B" w:rsidRDefault="0009118B" w:rsidP="0009118B">
            <w:pPr>
              <w:rPr>
                <w:rFonts w:ascii="Arial" w:hAnsi="Arial" w:cs="Arial"/>
                <w:sz w:val="20"/>
                <w:szCs w:val="20"/>
              </w:rPr>
            </w:pPr>
            <w:r>
              <w:rPr>
                <w:rFonts w:ascii="Arial" w:hAnsi="Arial" w:cs="Arial"/>
                <w:sz w:val="20"/>
                <w:szCs w:val="20"/>
              </w:rPr>
              <w:t>2.1 Recenser les acteurs en lien avec les risques solaires</w:t>
            </w:r>
          </w:p>
          <w:p w:rsidR="0009118B" w:rsidRDefault="0009118B" w:rsidP="0009118B">
            <w:pPr>
              <w:rPr>
                <w:rFonts w:ascii="Arial" w:hAnsi="Arial" w:cs="Arial"/>
                <w:sz w:val="20"/>
                <w:szCs w:val="20"/>
              </w:rPr>
            </w:pPr>
            <w:r>
              <w:rPr>
                <w:rFonts w:ascii="Arial" w:hAnsi="Arial" w:cs="Arial"/>
                <w:sz w:val="20"/>
                <w:szCs w:val="20"/>
              </w:rPr>
              <w:t>2.2 Sensibiliser les acteurs identifiés pour communiquer sur les risques solaires</w:t>
            </w:r>
          </w:p>
          <w:p w:rsidR="00522E72" w:rsidRDefault="00522E72" w:rsidP="0009118B">
            <w:pPr>
              <w:rPr>
                <w:rFonts w:ascii="Arial" w:hAnsi="Arial" w:cs="Arial"/>
                <w:sz w:val="20"/>
                <w:szCs w:val="20"/>
              </w:rPr>
            </w:pPr>
          </w:p>
          <w:p w:rsidR="00522E72" w:rsidRPr="002216CC" w:rsidRDefault="00522E72" w:rsidP="002216CC">
            <w:pPr>
              <w:pStyle w:val="Paragraphedeliste"/>
              <w:numPr>
                <w:ilvl w:val="1"/>
                <w:numId w:val="7"/>
              </w:numPr>
              <w:rPr>
                <w:rFonts w:ascii="Arial" w:hAnsi="Arial" w:cs="Arial"/>
                <w:sz w:val="20"/>
                <w:szCs w:val="20"/>
              </w:rPr>
            </w:pPr>
            <w:r w:rsidRPr="002216CC">
              <w:rPr>
                <w:rFonts w:ascii="Arial" w:hAnsi="Arial" w:cs="Arial"/>
                <w:sz w:val="20"/>
                <w:szCs w:val="20"/>
              </w:rPr>
              <w:t>Relayer les campagnes de prévention pour lutter contre la déshydratation</w:t>
            </w:r>
          </w:p>
          <w:p w:rsidR="00522E72" w:rsidRPr="00522E72" w:rsidRDefault="00522E72" w:rsidP="00522E72">
            <w:pPr>
              <w:pStyle w:val="Paragraphedeliste"/>
              <w:numPr>
                <w:ilvl w:val="1"/>
                <w:numId w:val="7"/>
              </w:numPr>
              <w:rPr>
                <w:rFonts w:ascii="Arial" w:hAnsi="Arial" w:cs="Arial"/>
                <w:sz w:val="20"/>
                <w:szCs w:val="20"/>
              </w:rPr>
            </w:pPr>
            <w:proofErr w:type="spellStart"/>
            <w:r>
              <w:rPr>
                <w:rFonts w:ascii="Arial" w:hAnsi="Arial" w:cs="Arial"/>
                <w:sz w:val="20"/>
                <w:szCs w:val="20"/>
              </w:rPr>
              <w:t>Créér</w:t>
            </w:r>
            <w:proofErr w:type="spellEnd"/>
            <w:r>
              <w:rPr>
                <w:rFonts w:ascii="Arial" w:hAnsi="Arial" w:cs="Arial"/>
                <w:sz w:val="20"/>
                <w:szCs w:val="20"/>
              </w:rPr>
              <w:t xml:space="preserve"> un réseau de solidarité pour lutter contre l’i</w:t>
            </w:r>
            <w:r w:rsidR="00A7149B">
              <w:rPr>
                <w:rFonts w:ascii="Arial" w:hAnsi="Arial" w:cs="Arial"/>
                <w:sz w:val="20"/>
                <w:szCs w:val="20"/>
              </w:rPr>
              <w:t>s</w:t>
            </w:r>
            <w:r>
              <w:rPr>
                <w:rFonts w:ascii="Arial" w:hAnsi="Arial" w:cs="Arial"/>
                <w:sz w:val="20"/>
                <w:szCs w:val="20"/>
              </w:rPr>
              <w:t xml:space="preserve">olement </w:t>
            </w:r>
            <w:r w:rsidR="00A7149B">
              <w:rPr>
                <w:rFonts w:ascii="Arial" w:hAnsi="Arial" w:cs="Arial"/>
                <w:sz w:val="20"/>
                <w:szCs w:val="20"/>
              </w:rPr>
              <w:t xml:space="preserve">des personnes vulnérables </w:t>
            </w:r>
            <w:r>
              <w:rPr>
                <w:rFonts w:ascii="Arial" w:hAnsi="Arial" w:cs="Arial"/>
                <w:sz w:val="20"/>
                <w:szCs w:val="20"/>
              </w:rPr>
              <w:t>en période de forte chaleur</w:t>
            </w:r>
          </w:p>
          <w:p w:rsidR="0009118B" w:rsidRPr="0009118B" w:rsidRDefault="0009118B" w:rsidP="0009118B">
            <w:pPr>
              <w:rPr>
                <w:rFonts w:ascii="Arial" w:hAnsi="Arial" w:cs="Arial"/>
                <w:sz w:val="20"/>
                <w:szCs w:val="20"/>
              </w:rPr>
            </w:pP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rsidR="0057104E" w:rsidRDefault="0009118B" w:rsidP="0009118B">
            <w:pPr>
              <w:contextualSpacing/>
              <w:rPr>
                <w:rFonts w:ascii="Arial" w:hAnsi="Arial" w:cs="Arial"/>
                <w:sz w:val="20"/>
                <w:szCs w:val="20"/>
              </w:rPr>
            </w:pPr>
            <w:r>
              <w:rPr>
                <w:rFonts w:ascii="Arial" w:hAnsi="Arial" w:cs="Arial"/>
                <w:sz w:val="20"/>
                <w:szCs w:val="20"/>
              </w:rPr>
              <w:t xml:space="preserve">2022 : </w:t>
            </w:r>
          </w:p>
          <w:p w:rsidR="0009118B" w:rsidRDefault="0009118B" w:rsidP="006018BF">
            <w:pPr>
              <w:contextualSpacing/>
              <w:jc w:val="both"/>
              <w:rPr>
                <w:rFonts w:ascii="Arial" w:hAnsi="Arial" w:cs="Arial"/>
                <w:sz w:val="20"/>
                <w:szCs w:val="20"/>
              </w:rPr>
            </w:pPr>
            <w:r>
              <w:rPr>
                <w:rFonts w:ascii="Arial" w:hAnsi="Arial" w:cs="Arial"/>
                <w:sz w:val="20"/>
                <w:szCs w:val="20"/>
              </w:rPr>
              <w:t>Pour le lancement de cette action, le PETR imprimera et relayera auprès des acteurs recevant du public la campagne d’affichage présente sur Santé Publique France concernant les risques solaires</w:t>
            </w:r>
            <w:r w:rsidR="00304537">
              <w:rPr>
                <w:rFonts w:ascii="Arial" w:hAnsi="Arial" w:cs="Arial"/>
                <w:sz w:val="20"/>
                <w:szCs w:val="20"/>
              </w:rPr>
              <w:t xml:space="preserve">. </w:t>
            </w:r>
          </w:p>
          <w:p w:rsidR="00304537" w:rsidRDefault="00304537" w:rsidP="006018BF">
            <w:pPr>
              <w:contextualSpacing/>
              <w:jc w:val="both"/>
              <w:rPr>
                <w:rFonts w:ascii="Arial" w:hAnsi="Arial" w:cs="Arial"/>
                <w:sz w:val="20"/>
                <w:szCs w:val="20"/>
              </w:rPr>
            </w:pPr>
            <w:r>
              <w:rPr>
                <w:rFonts w:ascii="Arial" w:hAnsi="Arial" w:cs="Arial"/>
                <w:sz w:val="20"/>
                <w:szCs w:val="20"/>
              </w:rPr>
              <w:t xml:space="preserve">Un recensement des acteurs agissant sur les risques solaires (dermatologue, </w:t>
            </w:r>
            <w:proofErr w:type="spellStart"/>
            <w:r>
              <w:rPr>
                <w:rFonts w:ascii="Arial" w:hAnsi="Arial" w:cs="Arial"/>
                <w:sz w:val="20"/>
                <w:szCs w:val="20"/>
              </w:rPr>
              <w:t>ophtalomologue</w:t>
            </w:r>
            <w:proofErr w:type="spellEnd"/>
            <w:r>
              <w:rPr>
                <w:rFonts w:ascii="Arial" w:hAnsi="Arial" w:cs="Arial"/>
                <w:sz w:val="20"/>
                <w:szCs w:val="20"/>
              </w:rPr>
              <w:t>, médecin généraliste) afin de les informer de la campagne de prévention et de les inviter à participer.</w:t>
            </w:r>
          </w:p>
          <w:p w:rsidR="0009118B" w:rsidRDefault="0009118B" w:rsidP="00B30CB5">
            <w:pPr>
              <w:ind w:left="720"/>
              <w:contextualSpacing/>
              <w:rPr>
                <w:rFonts w:ascii="Arial" w:hAnsi="Arial" w:cs="Arial"/>
                <w:sz w:val="20"/>
                <w:szCs w:val="20"/>
              </w:rPr>
            </w:pPr>
          </w:p>
          <w:p w:rsidR="00304537" w:rsidRDefault="00304537" w:rsidP="00B30CB5">
            <w:pPr>
              <w:ind w:left="720"/>
              <w:contextualSpacing/>
              <w:rPr>
                <w:rFonts w:ascii="Arial" w:hAnsi="Arial" w:cs="Arial"/>
                <w:sz w:val="20"/>
                <w:szCs w:val="20"/>
              </w:rPr>
            </w:pPr>
          </w:p>
          <w:p w:rsidR="0009118B" w:rsidRDefault="0009118B" w:rsidP="0009118B">
            <w:pPr>
              <w:contextualSpacing/>
              <w:rPr>
                <w:rFonts w:ascii="Arial" w:hAnsi="Arial" w:cs="Arial"/>
                <w:sz w:val="20"/>
                <w:szCs w:val="20"/>
              </w:rPr>
            </w:pPr>
            <w:r>
              <w:rPr>
                <w:rFonts w:ascii="Arial" w:hAnsi="Arial" w:cs="Arial"/>
                <w:sz w:val="20"/>
                <w:szCs w:val="20"/>
              </w:rPr>
              <w:t>2023</w:t>
            </w:r>
            <w:r w:rsidR="00304537">
              <w:rPr>
                <w:rFonts w:ascii="Arial" w:hAnsi="Arial" w:cs="Arial"/>
                <w:sz w:val="20"/>
                <w:szCs w:val="20"/>
              </w:rPr>
              <w:t> :</w:t>
            </w:r>
          </w:p>
          <w:p w:rsidR="0009118B" w:rsidRDefault="0009118B" w:rsidP="006018BF">
            <w:pPr>
              <w:contextualSpacing/>
              <w:jc w:val="both"/>
              <w:rPr>
                <w:rFonts w:ascii="Arial" w:hAnsi="Arial" w:cs="Arial"/>
                <w:sz w:val="20"/>
                <w:szCs w:val="20"/>
              </w:rPr>
            </w:pPr>
            <w:r>
              <w:rPr>
                <w:rFonts w:ascii="Arial" w:hAnsi="Arial" w:cs="Arial"/>
                <w:sz w:val="20"/>
                <w:szCs w:val="20"/>
              </w:rPr>
              <w:t xml:space="preserve">En plus de </w:t>
            </w:r>
            <w:proofErr w:type="spellStart"/>
            <w:r>
              <w:rPr>
                <w:rFonts w:ascii="Arial" w:hAnsi="Arial" w:cs="Arial"/>
                <w:sz w:val="20"/>
                <w:szCs w:val="20"/>
              </w:rPr>
              <w:t>ralyer</w:t>
            </w:r>
            <w:proofErr w:type="spellEnd"/>
            <w:r>
              <w:rPr>
                <w:rFonts w:ascii="Arial" w:hAnsi="Arial" w:cs="Arial"/>
                <w:sz w:val="20"/>
                <w:szCs w:val="20"/>
              </w:rPr>
              <w:t xml:space="preserve"> les campagnes existantes, le PETR créera si cela s’avère nécessaire sa propre campagne en lien avec les professionnels du territoire</w:t>
            </w:r>
            <w:r w:rsidR="00304537">
              <w:rPr>
                <w:rFonts w:ascii="Arial" w:hAnsi="Arial" w:cs="Arial"/>
                <w:sz w:val="20"/>
                <w:szCs w:val="20"/>
              </w:rPr>
              <w:t xml:space="preserve">. Il sera également prévu de diffuser des messages de prévention sur les panneaux lumineux, les sites internet des </w:t>
            </w:r>
            <w:proofErr w:type="spellStart"/>
            <w:r w:rsidR="00304537">
              <w:rPr>
                <w:rFonts w:ascii="Arial" w:hAnsi="Arial" w:cs="Arial"/>
                <w:sz w:val="20"/>
                <w:szCs w:val="20"/>
              </w:rPr>
              <w:t>intercoomunalités</w:t>
            </w:r>
            <w:proofErr w:type="spellEnd"/>
            <w:r w:rsidR="00304537">
              <w:rPr>
                <w:rFonts w:ascii="Arial" w:hAnsi="Arial" w:cs="Arial"/>
                <w:sz w:val="20"/>
                <w:szCs w:val="20"/>
              </w:rPr>
              <w:t xml:space="preserve"> et les bulletins intercommunaux afin de sensibiliser le plus grand nombre d’habitants du territoire</w:t>
            </w:r>
            <w:r w:rsidR="006018BF">
              <w:rPr>
                <w:rFonts w:ascii="Arial" w:hAnsi="Arial" w:cs="Arial"/>
                <w:sz w:val="20"/>
                <w:szCs w:val="20"/>
              </w:rPr>
              <w:t xml:space="preserve">. </w:t>
            </w:r>
          </w:p>
          <w:p w:rsidR="006018BF" w:rsidRDefault="006018BF" w:rsidP="006018BF">
            <w:pPr>
              <w:contextualSpacing/>
              <w:jc w:val="both"/>
              <w:rPr>
                <w:rFonts w:ascii="Arial" w:hAnsi="Arial" w:cs="Arial"/>
                <w:sz w:val="20"/>
                <w:szCs w:val="20"/>
              </w:rPr>
            </w:pPr>
            <w:r>
              <w:rPr>
                <w:rFonts w:ascii="Arial" w:hAnsi="Arial" w:cs="Arial"/>
                <w:sz w:val="20"/>
                <w:szCs w:val="20"/>
              </w:rPr>
              <w:t>Pour compléter cela, un</w:t>
            </w:r>
            <w:r w:rsidR="00D411E8">
              <w:rPr>
                <w:rFonts w:ascii="Arial" w:hAnsi="Arial" w:cs="Arial"/>
                <w:sz w:val="20"/>
                <w:szCs w:val="20"/>
              </w:rPr>
              <w:t>e campagne de conférence aura lieu pour informer au mieux les habitants du territoire</w:t>
            </w:r>
            <w:r w:rsidR="00F44C49">
              <w:rPr>
                <w:rFonts w:ascii="Arial" w:hAnsi="Arial" w:cs="Arial"/>
                <w:sz w:val="20"/>
                <w:szCs w:val="20"/>
              </w:rPr>
              <w:t xml:space="preserve">. </w:t>
            </w:r>
          </w:p>
          <w:p w:rsidR="00F44C49" w:rsidRDefault="00F44C49" w:rsidP="006018BF">
            <w:pPr>
              <w:contextualSpacing/>
              <w:jc w:val="both"/>
              <w:rPr>
                <w:rFonts w:ascii="Arial" w:hAnsi="Arial" w:cs="Arial"/>
                <w:sz w:val="20"/>
                <w:szCs w:val="20"/>
              </w:rPr>
            </w:pPr>
          </w:p>
          <w:p w:rsidR="00F44C49" w:rsidRDefault="00F44C49" w:rsidP="006018BF">
            <w:pPr>
              <w:contextualSpacing/>
              <w:jc w:val="both"/>
              <w:rPr>
                <w:rFonts w:ascii="Arial" w:hAnsi="Arial" w:cs="Arial"/>
                <w:sz w:val="20"/>
                <w:szCs w:val="20"/>
              </w:rPr>
            </w:pPr>
            <w:r>
              <w:rPr>
                <w:rFonts w:ascii="Arial" w:hAnsi="Arial" w:cs="Arial"/>
                <w:sz w:val="20"/>
                <w:szCs w:val="20"/>
              </w:rPr>
              <w:t>En lien avec les acteurs du territoire</w:t>
            </w:r>
            <w:r w:rsidR="000F6C85">
              <w:rPr>
                <w:rFonts w:ascii="Arial" w:hAnsi="Arial" w:cs="Arial"/>
                <w:sz w:val="20"/>
                <w:szCs w:val="20"/>
              </w:rPr>
              <w:t xml:space="preserve"> (</w:t>
            </w:r>
            <w:proofErr w:type="spellStart"/>
            <w:proofErr w:type="gramStart"/>
            <w:r w:rsidR="000F6C85">
              <w:rPr>
                <w:rFonts w:ascii="Arial" w:hAnsi="Arial" w:cs="Arial"/>
                <w:sz w:val="20"/>
                <w:szCs w:val="20"/>
              </w:rPr>
              <w:t>communes,communautés</w:t>
            </w:r>
            <w:proofErr w:type="spellEnd"/>
            <w:proofErr w:type="gramEnd"/>
            <w:r w:rsidR="000F6C85">
              <w:rPr>
                <w:rFonts w:ascii="Arial" w:hAnsi="Arial" w:cs="Arial"/>
                <w:sz w:val="20"/>
                <w:szCs w:val="20"/>
              </w:rPr>
              <w:t xml:space="preserve"> de communes, MAIA, SSIAD, SSAD, CSC …) </w:t>
            </w:r>
            <w:r>
              <w:rPr>
                <w:rFonts w:ascii="Arial" w:hAnsi="Arial" w:cs="Arial"/>
                <w:sz w:val="20"/>
                <w:szCs w:val="20"/>
              </w:rPr>
              <w:t xml:space="preserve"> </w:t>
            </w:r>
            <w:proofErr w:type="gramStart"/>
            <w:r>
              <w:rPr>
                <w:rFonts w:ascii="Arial" w:hAnsi="Arial" w:cs="Arial"/>
                <w:sz w:val="20"/>
                <w:szCs w:val="20"/>
              </w:rPr>
              <w:t>le</w:t>
            </w:r>
            <w:proofErr w:type="gramEnd"/>
            <w:r>
              <w:rPr>
                <w:rFonts w:ascii="Arial" w:hAnsi="Arial" w:cs="Arial"/>
                <w:sz w:val="20"/>
                <w:szCs w:val="20"/>
              </w:rPr>
              <w:t xml:space="preserve"> Pays de Saverne Plaine et Plateau souhaiterait organiser un réseau de solidarité </w:t>
            </w:r>
            <w:r w:rsidR="000F6C85">
              <w:rPr>
                <w:rFonts w:ascii="Arial" w:hAnsi="Arial" w:cs="Arial"/>
                <w:sz w:val="20"/>
                <w:szCs w:val="20"/>
              </w:rPr>
              <w:t xml:space="preserve">(chaine de bénévolat, remise en place de la plateforme BIP POP) </w:t>
            </w:r>
            <w:r>
              <w:rPr>
                <w:rFonts w:ascii="Arial" w:hAnsi="Arial" w:cs="Arial"/>
                <w:sz w:val="20"/>
                <w:szCs w:val="20"/>
              </w:rPr>
              <w:t>afin de lutter contre l’isolement des personnes âgées en période de forte chaleur</w:t>
            </w:r>
            <w:r w:rsidR="000F6C85">
              <w:rPr>
                <w:rFonts w:ascii="Arial" w:hAnsi="Arial" w:cs="Arial"/>
                <w:sz w:val="20"/>
                <w:szCs w:val="20"/>
              </w:rPr>
              <w:t xml:space="preserve"> (appels, visites …)</w:t>
            </w:r>
            <w:r>
              <w:rPr>
                <w:rFonts w:ascii="Arial" w:hAnsi="Arial" w:cs="Arial"/>
                <w:sz w:val="20"/>
                <w:szCs w:val="20"/>
              </w:rPr>
              <w:t xml:space="preserve"> et d’assurer un réseau de soutien pour la vie courante</w:t>
            </w:r>
            <w:r w:rsidR="000F6C85">
              <w:rPr>
                <w:rFonts w:ascii="Arial" w:hAnsi="Arial" w:cs="Arial"/>
                <w:sz w:val="20"/>
                <w:szCs w:val="20"/>
              </w:rPr>
              <w:t xml:space="preserve"> en ses périodes de forte chaleur</w:t>
            </w:r>
            <w:r>
              <w:rPr>
                <w:rFonts w:ascii="Arial" w:hAnsi="Arial" w:cs="Arial"/>
                <w:sz w:val="20"/>
                <w:szCs w:val="20"/>
              </w:rPr>
              <w:t xml:space="preserve">.   </w:t>
            </w:r>
          </w:p>
          <w:p w:rsidR="006C508C" w:rsidRDefault="006C508C" w:rsidP="006018BF">
            <w:pPr>
              <w:contextualSpacing/>
              <w:jc w:val="both"/>
              <w:rPr>
                <w:rFonts w:ascii="Arial" w:hAnsi="Arial" w:cs="Arial"/>
                <w:sz w:val="20"/>
                <w:szCs w:val="20"/>
              </w:rPr>
            </w:pPr>
          </w:p>
          <w:p w:rsidR="006C508C" w:rsidRDefault="006C508C" w:rsidP="006018BF">
            <w:pPr>
              <w:contextualSpacing/>
              <w:jc w:val="both"/>
              <w:rPr>
                <w:rFonts w:ascii="Arial" w:hAnsi="Arial" w:cs="Arial"/>
                <w:sz w:val="20"/>
                <w:szCs w:val="20"/>
              </w:rPr>
            </w:pPr>
            <w:r>
              <w:rPr>
                <w:rFonts w:ascii="Arial" w:hAnsi="Arial" w:cs="Arial"/>
                <w:sz w:val="20"/>
                <w:szCs w:val="20"/>
              </w:rPr>
              <w:t xml:space="preserve">Première mission : remettre à jour les registres des personnes âgées seules dans les villages. </w:t>
            </w:r>
          </w:p>
          <w:p w:rsidR="002216CC" w:rsidRDefault="002216CC" w:rsidP="006018BF">
            <w:pPr>
              <w:contextualSpacing/>
              <w:jc w:val="both"/>
              <w:rPr>
                <w:rFonts w:ascii="Arial" w:hAnsi="Arial" w:cs="Arial"/>
                <w:sz w:val="20"/>
                <w:szCs w:val="20"/>
              </w:rPr>
            </w:pPr>
          </w:p>
          <w:p w:rsidR="002216CC" w:rsidRDefault="002216CC" w:rsidP="006018BF">
            <w:pPr>
              <w:contextualSpacing/>
              <w:jc w:val="both"/>
              <w:rPr>
                <w:rFonts w:ascii="Arial" w:hAnsi="Arial" w:cs="Arial"/>
                <w:sz w:val="20"/>
                <w:szCs w:val="20"/>
              </w:rPr>
            </w:pPr>
            <w:r>
              <w:rPr>
                <w:rFonts w:ascii="Arial" w:hAnsi="Arial" w:cs="Arial"/>
                <w:sz w:val="20"/>
                <w:szCs w:val="20"/>
              </w:rPr>
              <w:t>Deuxième mission : mobiliser des bénévoles pour contacter les personnes recensées lors des plans canicules.</w:t>
            </w:r>
          </w:p>
          <w:p w:rsidR="00062BE7" w:rsidRDefault="00062BE7" w:rsidP="006018BF">
            <w:pPr>
              <w:contextualSpacing/>
              <w:jc w:val="both"/>
              <w:rPr>
                <w:rFonts w:ascii="Arial" w:hAnsi="Arial" w:cs="Arial"/>
                <w:sz w:val="20"/>
                <w:szCs w:val="20"/>
              </w:rPr>
            </w:pPr>
          </w:p>
          <w:p w:rsidR="00062BE7" w:rsidRDefault="00062BE7" w:rsidP="006018BF">
            <w:pPr>
              <w:contextualSpacing/>
              <w:jc w:val="both"/>
              <w:rPr>
                <w:rFonts w:ascii="Arial" w:hAnsi="Arial" w:cs="Arial"/>
                <w:sz w:val="20"/>
                <w:szCs w:val="20"/>
              </w:rPr>
            </w:pPr>
            <w:r>
              <w:rPr>
                <w:rFonts w:ascii="Arial" w:hAnsi="Arial" w:cs="Arial"/>
                <w:sz w:val="20"/>
                <w:szCs w:val="20"/>
              </w:rPr>
              <w:t>Troisième mission : coordonner et mettre en lien les bénévoles et les personnes âgées.</w:t>
            </w:r>
          </w:p>
          <w:p w:rsidR="000F6C85" w:rsidRPr="00354DE9" w:rsidRDefault="000F6C85" w:rsidP="006018BF">
            <w:pPr>
              <w:contextualSpacing/>
              <w:jc w:val="both"/>
              <w:rPr>
                <w:rFonts w:ascii="Arial" w:hAnsi="Arial" w:cs="Arial"/>
                <w:sz w:val="20"/>
                <w:szCs w:val="20"/>
              </w:rPr>
            </w:pP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rsidR="005C4530" w:rsidRPr="00354DE9" w:rsidRDefault="005C4530" w:rsidP="008B1140">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304537">
              <w:rPr>
                <w:rFonts w:ascii="Arial" w:hAnsi="Arial" w:cs="Arial"/>
                <w:sz w:val="20"/>
                <w:szCs w:val="20"/>
              </w:rPr>
              <w:fldChar w:fldCharType="begin">
                <w:ffData>
                  <w:name w:val=""/>
                  <w:enabled/>
                  <w:calcOnExit w:val="0"/>
                  <w:checkBox>
                    <w:sizeAuto/>
                    <w:default w:val="1"/>
                  </w:checkBox>
                </w:ffData>
              </w:fldChar>
            </w:r>
            <w:r w:rsidR="00304537">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00304537">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Début :</w:t>
            </w:r>
            <w:r w:rsidR="00B30CB5">
              <w:rPr>
                <w:rFonts w:ascii="Arial" w:hAnsi="Arial" w:cs="Arial"/>
                <w:sz w:val="20"/>
                <w:szCs w:val="20"/>
              </w:rPr>
              <w:t xml:space="preserve">   </w:t>
            </w:r>
            <w:r w:rsidR="00304537">
              <w:rPr>
                <w:rFonts w:ascii="Arial" w:hAnsi="Arial" w:cs="Arial"/>
                <w:sz w:val="20"/>
                <w:szCs w:val="20"/>
              </w:rPr>
              <w:t>Juillet 2022</w:t>
            </w:r>
            <w:r w:rsidR="00B30CB5">
              <w:rPr>
                <w:rFonts w:ascii="Arial" w:hAnsi="Arial" w:cs="Arial"/>
                <w:sz w:val="20"/>
                <w:szCs w:val="20"/>
              </w:rPr>
              <w:t xml:space="preserve">                           </w:t>
            </w:r>
            <w:r>
              <w:rPr>
                <w:rFonts w:ascii="Arial" w:hAnsi="Arial" w:cs="Arial"/>
                <w:sz w:val="20"/>
                <w:szCs w:val="20"/>
              </w:rPr>
              <w:t xml:space="preserve"> Fin : </w:t>
            </w:r>
            <w:r w:rsidR="00304537">
              <w:rPr>
                <w:rFonts w:ascii="Arial" w:hAnsi="Arial" w:cs="Arial"/>
                <w:sz w:val="20"/>
                <w:szCs w:val="20"/>
              </w:rPr>
              <w:t>Décembre 2023</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5843B6" w:rsidRPr="00354DE9" w:rsidRDefault="00304537" w:rsidP="00F16670">
            <w:pPr>
              <w:rPr>
                <w:rFonts w:ascii="Arial" w:hAnsi="Arial" w:cs="Arial"/>
                <w:sz w:val="20"/>
                <w:szCs w:val="20"/>
              </w:rPr>
            </w:pPr>
            <w:r>
              <w:rPr>
                <w:rFonts w:ascii="Arial" w:hAnsi="Arial" w:cs="Arial"/>
                <w:sz w:val="20"/>
                <w:szCs w:val="20"/>
              </w:rPr>
              <w:t xml:space="preserve">ARS / CSC / CC / </w:t>
            </w:r>
            <w:r w:rsidR="009166B5">
              <w:rPr>
                <w:rFonts w:ascii="Arial" w:hAnsi="Arial" w:cs="Arial"/>
                <w:sz w:val="20"/>
                <w:szCs w:val="20"/>
              </w:rPr>
              <w:t>Communes</w:t>
            </w:r>
            <w:r w:rsidR="00DA31A8">
              <w:rPr>
                <w:rFonts w:ascii="Arial" w:hAnsi="Arial" w:cs="Arial"/>
                <w:sz w:val="20"/>
                <w:szCs w:val="20"/>
              </w:rPr>
              <w:t>/ CCAS</w:t>
            </w:r>
            <w:r w:rsidR="000B7FD6">
              <w:rPr>
                <w:rFonts w:ascii="Arial" w:hAnsi="Arial" w:cs="Arial"/>
                <w:sz w:val="20"/>
                <w:szCs w:val="20"/>
              </w:rPr>
              <w:t xml:space="preserve"> / MSA</w:t>
            </w:r>
          </w:p>
        </w:tc>
      </w:tr>
      <w:tr w:rsidR="0046751A" w:rsidRPr="00354DE9" w:rsidTr="00996C61">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rsidR="00AC64C8"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lastRenderedPageBreak/>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rsidR="0046751A" w:rsidRPr="00EA7DFE" w:rsidRDefault="009166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0F6C85" w:rsidP="00F47D59">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487"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lastRenderedPageBreak/>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B30CB5"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prévention et de la promotion de la santé</w:t>
            </w:r>
            <w:r w:rsidR="0046751A" w:rsidRPr="00354DE9">
              <w:rPr>
                <w:rFonts w:ascii="Arial" w:hAnsi="Arial" w:cs="Arial"/>
                <w:sz w:val="20"/>
                <w:szCs w:val="20"/>
              </w:rPr>
              <w:t xml:space="preserve"> </w:t>
            </w:r>
          </w:p>
          <w:p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lastRenderedPageBreak/>
              <w:t xml:space="preserve">Territoire </w:t>
            </w:r>
            <w:r w:rsidR="00354DE9" w:rsidRPr="00354DE9">
              <w:rPr>
                <w:rFonts w:ascii="Arial" w:hAnsi="Arial" w:cs="Arial"/>
                <w:b/>
                <w:sz w:val="20"/>
                <w:szCs w:val="20"/>
              </w:rPr>
              <w:t>d’intervention</w:t>
            </w:r>
          </w:p>
        </w:tc>
        <w:tc>
          <w:tcPr>
            <w:tcW w:w="6973" w:type="dxa"/>
            <w:gridSpan w:val="4"/>
            <w:vAlign w:val="center"/>
          </w:tcPr>
          <w:p w:rsidR="008E2932" w:rsidRPr="00354DE9" w:rsidRDefault="00A44738" w:rsidP="00F16670">
            <w:pPr>
              <w:rPr>
                <w:rFonts w:ascii="Arial" w:hAnsi="Arial" w:cs="Arial"/>
                <w:sz w:val="20"/>
                <w:szCs w:val="20"/>
              </w:rPr>
            </w:pPr>
            <w:r>
              <w:rPr>
                <w:rFonts w:ascii="Arial" w:hAnsi="Arial" w:cs="Arial"/>
                <w:sz w:val="20"/>
                <w:szCs w:val="20"/>
              </w:rPr>
              <w:t xml:space="preserve">Pays </w:t>
            </w:r>
            <w:r w:rsidR="0027785F">
              <w:rPr>
                <w:rFonts w:ascii="Arial" w:hAnsi="Arial" w:cs="Arial"/>
                <w:sz w:val="20"/>
                <w:szCs w:val="20"/>
              </w:rPr>
              <w:t>d</w:t>
            </w:r>
            <w:r>
              <w:rPr>
                <w:rFonts w:ascii="Arial" w:hAnsi="Arial" w:cs="Arial"/>
                <w:sz w:val="20"/>
                <w:szCs w:val="20"/>
              </w:rPr>
              <w:t>e Saverne Plaine et Plateau</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7452AB" w:rsidRDefault="000F6C85" w:rsidP="00F16670">
            <w:pPr>
              <w:rPr>
                <w:rFonts w:ascii="Arial" w:hAnsi="Arial" w:cs="Arial"/>
                <w:sz w:val="20"/>
                <w:szCs w:val="20"/>
              </w:rPr>
            </w:pPr>
            <w:r>
              <w:rPr>
                <w:rFonts w:ascii="Arial" w:hAnsi="Arial" w:cs="Arial"/>
                <w:sz w:val="20"/>
                <w:szCs w:val="20"/>
              </w:rPr>
              <w:t>2022 : 700 euros de communication des affiches et flyers</w:t>
            </w:r>
          </w:p>
          <w:p w:rsidR="000F6C85" w:rsidRPr="00354DE9" w:rsidRDefault="000F6C85" w:rsidP="00F16670">
            <w:pPr>
              <w:rPr>
                <w:rFonts w:ascii="Arial" w:hAnsi="Arial" w:cs="Arial"/>
                <w:sz w:val="20"/>
                <w:szCs w:val="20"/>
              </w:rPr>
            </w:pPr>
            <w:r>
              <w:rPr>
                <w:rFonts w:ascii="Arial" w:hAnsi="Arial" w:cs="Arial"/>
                <w:sz w:val="20"/>
                <w:szCs w:val="20"/>
              </w:rPr>
              <w:t>2023 : 3000 euros (1000 euros de communication + frais de plateforme BIP POP)</w:t>
            </w:r>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F71D52" w:rsidRDefault="009166B5" w:rsidP="00F16670">
            <w:pPr>
              <w:rPr>
                <w:rFonts w:ascii="Arial" w:hAnsi="Arial" w:cs="Arial"/>
                <w:sz w:val="20"/>
                <w:szCs w:val="20"/>
              </w:rPr>
            </w:pPr>
            <w:r>
              <w:rPr>
                <w:rFonts w:ascii="Arial" w:hAnsi="Arial" w:cs="Arial"/>
                <w:sz w:val="20"/>
                <w:szCs w:val="20"/>
              </w:rPr>
              <w:t>ARS</w:t>
            </w:r>
            <w:r w:rsidR="00437A0B">
              <w:rPr>
                <w:rFonts w:ascii="Arial" w:hAnsi="Arial" w:cs="Arial"/>
                <w:sz w:val="20"/>
                <w:szCs w:val="20"/>
              </w:rPr>
              <w:t xml:space="preserve"> </w:t>
            </w:r>
          </w:p>
          <w:p w:rsidR="00437A0B" w:rsidRPr="00354DE9" w:rsidRDefault="00437A0B" w:rsidP="00F16670">
            <w:pPr>
              <w:rPr>
                <w:rFonts w:ascii="Arial" w:hAnsi="Arial" w:cs="Arial"/>
                <w:sz w:val="20"/>
                <w:szCs w:val="20"/>
              </w:rPr>
            </w:pPr>
            <w:r>
              <w:rPr>
                <w:rFonts w:ascii="Arial" w:hAnsi="Arial" w:cs="Arial"/>
                <w:sz w:val="20"/>
                <w:szCs w:val="20"/>
              </w:rPr>
              <w:t xml:space="preserve">MSA </w:t>
            </w:r>
            <w:bookmarkStart w:id="1" w:name="_GoBack"/>
            <w:bookmarkEnd w:id="1"/>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F71D52" w:rsidRPr="00354DE9" w:rsidRDefault="000F6C85" w:rsidP="00F16670">
            <w:pPr>
              <w:rPr>
                <w:rFonts w:ascii="Arial" w:hAnsi="Arial" w:cs="Arial"/>
                <w:sz w:val="20"/>
                <w:szCs w:val="20"/>
              </w:rPr>
            </w:pPr>
            <w:r>
              <w:rPr>
                <w:rFonts w:ascii="Arial" w:hAnsi="Arial" w:cs="Arial"/>
                <w:sz w:val="20"/>
                <w:szCs w:val="20"/>
              </w:rPr>
              <w:t>Informaticien PETR</w:t>
            </w: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B30CB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sociales)</w:t>
            </w:r>
          </w:p>
          <w:p w:rsidR="00143098" w:rsidRPr="00354DE9" w:rsidRDefault="00B30CB5"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2" w:name="CaseACocher61"/>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bookmarkEnd w:id="2"/>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BD43A8"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B30CB5"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(consommation d’alcool, de tabac, alimentation, activité physique, …)</w:t>
            </w:r>
          </w:p>
          <w:p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B30CB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(logement, loisir, services 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AE0A6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BD43A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rsidR="00143098" w:rsidRPr="00354DE9" w:rsidRDefault="00B30CB5"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(prise en compte des déterminants de santé 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BD43A8" w:rsidP="00BD43A8">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B30CB5">
              <w:rPr>
                <w:rFonts w:ascii="Arial" w:hAnsi="Arial" w:cs="Arial"/>
                <w:sz w:val="20"/>
                <w:szCs w:val="20"/>
              </w:rPr>
              <w:fldChar w:fldCharType="begin">
                <w:ffData>
                  <w:name w:val=""/>
                  <w:enabled/>
                  <w:calcOnExit w:val="0"/>
                  <w:checkBox>
                    <w:sizeAuto/>
                    <w:default w:val="0"/>
                  </w:checkBox>
                </w:ffData>
              </w:fldChar>
            </w:r>
            <w:r w:rsidR="00B30CB5">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00B30CB5">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B1DCC" w:rsidRPr="005B45F0" w:rsidRDefault="00DB1DCC" w:rsidP="00DB1DCC">
            <w:pPr>
              <w:spacing w:line="253" w:lineRule="atLeast"/>
              <w:rPr>
                <w:rFonts w:ascii="Arial" w:eastAsia="Times New Roman" w:hAnsi="Arial" w:cs="Arial"/>
                <w:bCs/>
                <w:sz w:val="20"/>
                <w:szCs w:val="20"/>
                <w:lang w:eastAsia="fr-FR"/>
              </w:rPr>
            </w:pP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lastRenderedPageBreak/>
              <w:t xml:space="preserve">Y-a-t-il une démarche participative associant les citoyens ? </w:t>
            </w:r>
          </w:p>
        </w:tc>
        <w:tc>
          <w:tcPr>
            <w:tcW w:w="6973" w:type="dxa"/>
            <w:gridSpan w:val="4"/>
            <w:vAlign w:val="center"/>
          </w:tcPr>
          <w:p w:rsidR="00562D16" w:rsidRPr="00354DE9" w:rsidRDefault="001361D6"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437A0B">
              <w:rPr>
                <w:rFonts w:ascii="Arial" w:hAnsi="Arial" w:cs="Arial"/>
                <w:sz w:val="20"/>
                <w:szCs w:val="20"/>
              </w:rPr>
            </w:r>
            <w:r w:rsidR="00437A0B">
              <w:rPr>
                <w:rFonts w:ascii="Arial" w:hAnsi="Arial" w:cs="Arial"/>
                <w:sz w:val="20"/>
                <w:szCs w:val="20"/>
              </w:rPr>
              <w:fldChar w:fldCharType="separate"/>
            </w:r>
            <w:r w:rsidR="00D9224D" w:rsidRPr="00354DE9">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D9224D" w:rsidP="00236FB1">
            <w:pPr>
              <w:spacing w:line="253" w:lineRule="atLeast"/>
              <w:rPr>
                <w:rFonts w:ascii="Arial" w:hAnsi="Arial" w:cs="Arial"/>
                <w:b/>
                <w:i/>
                <w:sz w:val="20"/>
                <w:szCs w:val="20"/>
                <w:u w:val="single"/>
              </w:rPr>
            </w:pPr>
          </w:p>
          <w:p w:rsidR="00F71D52" w:rsidRDefault="00F71D52" w:rsidP="001772B5">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rsidR="000F6C85" w:rsidRDefault="000F6C85" w:rsidP="000F6C85">
            <w:pPr>
              <w:spacing w:line="253" w:lineRule="atLeast"/>
              <w:rPr>
                <w:rFonts w:ascii="Arial" w:hAnsi="Arial" w:cs="Arial"/>
                <w:i/>
                <w:sz w:val="20"/>
                <w:szCs w:val="20"/>
              </w:rPr>
            </w:pPr>
            <w:r>
              <w:rPr>
                <w:rFonts w:ascii="Arial" w:hAnsi="Arial" w:cs="Arial"/>
                <w:i/>
                <w:sz w:val="20"/>
                <w:szCs w:val="20"/>
              </w:rPr>
              <w:t xml:space="preserve">Nombre de partenaires dans les réunions de présentation </w:t>
            </w:r>
          </w:p>
          <w:p w:rsidR="000F6C85" w:rsidRDefault="000F6C85" w:rsidP="000F6C85">
            <w:pPr>
              <w:spacing w:line="253" w:lineRule="atLeast"/>
              <w:rPr>
                <w:rFonts w:ascii="Arial" w:hAnsi="Arial" w:cs="Arial"/>
                <w:i/>
                <w:sz w:val="20"/>
                <w:szCs w:val="20"/>
              </w:rPr>
            </w:pPr>
            <w:r>
              <w:rPr>
                <w:rFonts w:ascii="Arial" w:hAnsi="Arial" w:cs="Arial"/>
                <w:i/>
                <w:sz w:val="20"/>
                <w:szCs w:val="20"/>
              </w:rPr>
              <w:t>Nombre de partenaires impliqués dans les réunions de mise en place</w:t>
            </w:r>
          </w:p>
          <w:p w:rsidR="000F6C85" w:rsidRDefault="000F6C85" w:rsidP="001772B5">
            <w:pPr>
              <w:spacing w:line="253" w:lineRule="atLeast"/>
              <w:rPr>
                <w:rFonts w:ascii="Arial" w:hAnsi="Arial" w:cs="Arial"/>
                <w:i/>
                <w:sz w:val="20"/>
                <w:szCs w:val="20"/>
              </w:rPr>
            </w:pPr>
            <w:r>
              <w:rPr>
                <w:rFonts w:ascii="Arial" w:hAnsi="Arial" w:cs="Arial"/>
                <w:i/>
                <w:sz w:val="20"/>
                <w:szCs w:val="20"/>
              </w:rPr>
              <w:t>Nombre d’usagers de la plateforme BIP POP (2023)</w:t>
            </w:r>
          </w:p>
          <w:p w:rsidR="009F23BE" w:rsidRDefault="009F23BE" w:rsidP="001772B5">
            <w:pPr>
              <w:spacing w:line="253" w:lineRule="atLeast"/>
              <w:rPr>
                <w:rFonts w:ascii="Arial" w:hAnsi="Arial" w:cs="Arial"/>
                <w:i/>
                <w:sz w:val="20"/>
                <w:szCs w:val="20"/>
              </w:rPr>
            </w:pPr>
            <w:r>
              <w:rPr>
                <w:rFonts w:ascii="Arial" w:hAnsi="Arial" w:cs="Arial"/>
                <w:i/>
                <w:sz w:val="20"/>
                <w:szCs w:val="20"/>
              </w:rPr>
              <w:t xml:space="preserve">Nombre de pro de santé présents pour créer la </w:t>
            </w:r>
            <w:proofErr w:type="spellStart"/>
            <w:r>
              <w:rPr>
                <w:rFonts w:ascii="Arial" w:hAnsi="Arial" w:cs="Arial"/>
                <w:i/>
                <w:sz w:val="20"/>
                <w:szCs w:val="20"/>
              </w:rPr>
              <w:t>comm</w:t>
            </w:r>
            <w:proofErr w:type="spellEnd"/>
            <w:r>
              <w:rPr>
                <w:rFonts w:ascii="Arial" w:hAnsi="Arial" w:cs="Arial"/>
                <w:i/>
                <w:sz w:val="20"/>
                <w:szCs w:val="20"/>
              </w:rPr>
              <w:t xml:space="preserve"> régionale (si besoin)</w:t>
            </w:r>
          </w:p>
          <w:p w:rsidR="00A44738" w:rsidRPr="001772B5" w:rsidRDefault="00A44738" w:rsidP="001772B5">
            <w:pPr>
              <w:jc w:val="both"/>
              <w:rPr>
                <w:rFonts w:ascii="Arial" w:hAnsi="Arial" w:cs="Arial"/>
                <w:sz w:val="20"/>
                <w:szCs w:val="20"/>
              </w:rPr>
            </w:pPr>
          </w:p>
          <w:p w:rsidR="00F71D52" w:rsidRDefault="00F71D52" w:rsidP="00F16670">
            <w:pPr>
              <w:spacing w:line="253" w:lineRule="atLeast"/>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p>
          <w:p w:rsidR="000F6C85" w:rsidRDefault="000F6C85" w:rsidP="00F16670">
            <w:pPr>
              <w:spacing w:line="253" w:lineRule="atLeast"/>
              <w:rPr>
                <w:rFonts w:ascii="Arial" w:hAnsi="Arial" w:cs="Arial"/>
                <w:i/>
                <w:sz w:val="20"/>
                <w:szCs w:val="20"/>
              </w:rPr>
            </w:pPr>
            <w:r w:rsidRPr="000F6C85">
              <w:rPr>
                <w:rFonts w:ascii="Arial" w:hAnsi="Arial" w:cs="Arial"/>
                <w:i/>
                <w:sz w:val="20"/>
                <w:szCs w:val="20"/>
              </w:rPr>
              <w:t xml:space="preserve">Nombre de partenaires opérationnels </w:t>
            </w:r>
            <w:r w:rsidR="006C508C">
              <w:rPr>
                <w:rFonts w:ascii="Arial" w:hAnsi="Arial" w:cs="Arial"/>
                <w:i/>
                <w:sz w:val="20"/>
                <w:szCs w:val="20"/>
              </w:rPr>
              <w:t>relayant les informations</w:t>
            </w:r>
          </w:p>
          <w:p w:rsidR="006C508C" w:rsidRPr="000F6C85" w:rsidRDefault="006C508C" w:rsidP="00F16670">
            <w:pPr>
              <w:spacing w:line="253" w:lineRule="atLeast"/>
              <w:rPr>
                <w:rFonts w:ascii="Arial" w:hAnsi="Arial" w:cs="Arial"/>
                <w:i/>
                <w:sz w:val="20"/>
                <w:szCs w:val="20"/>
              </w:rPr>
            </w:pPr>
            <w:r>
              <w:rPr>
                <w:rFonts w:ascii="Arial" w:hAnsi="Arial" w:cs="Arial"/>
                <w:i/>
                <w:sz w:val="20"/>
                <w:szCs w:val="20"/>
              </w:rPr>
              <w:t>Nombre de partenaires participants à l’identification des personnes âgées</w:t>
            </w:r>
          </w:p>
          <w:p w:rsidR="000F6C85" w:rsidRDefault="000F6C85" w:rsidP="00F16670">
            <w:pPr>
              <w:spacing w:line="253" w:lineRule="atLeast"/>
              <w:rPr>
                <w:rFonts w:ascii="Arial" w:hAnsi="Arial" w:cs="Arial"/>
                <w:i/>
                <w:sz w:val="20"/>
                <w:szCs w:val="20"/>
              </w:rPr>
            </w:pPr>
            <w:r w:rsidRPr="000F6C85">
              <w:rPr>
                <w:rFonts w:ascii="Arial" w:hAnsi="Arial" w:cs="Arial"/>
                <w:i/>
                <w:sz w:val="20"/>
                <w:szCs w:val="20"/>
              </w:rPr>
              <w:t xml:space="preserve">Nombre de </w:t>
            </w:r>
            <w:r w:rsidR="009F23BE">
              <w:rPr>
                <w:rFonts w:ascii="Arial" w:hAnsi="Arial" w:cs="Arial"/>
                <w:i/>
                <w:sz w:val="20"/>
                <w:szCs w:val="20"/>
              </w:rPr>
              <w:t xml:space="preserve">bénévoles </w:t>
            </w:r>
          </w:p>
          <w:p w:rsidR="009F23BE" w:rsidRDefault="009F23BE" w:rsidP="00F16670">
            <w:pPr>
              <w:spacing w:line="253" w:lineRule="atLeast"/>
              <w:rPr>
                <w:rFonts w:ascii="Arial" w:hAnsi="Arial" w:cs="Arial"/>
                <w:i/>
                <w:sz w:val="20"/>
                <w:szCs w:val="20"/>
              </w:rPr>
            </w:pPr>
            <w:r>
              <w:rPr>
                <w:rFonts w:ascii="Arial" w:hAnsi="Arial" w:cs="Arial"/>
                <w:i/>
                <w:sz w:val="20"/>
                <w:szCs w:val="20"/>
              </w:rPr>
              <w:t xml:space="preserve">Nombre de personnes âgées suivis </w:t>
            </w:r>
          </w:p>
          <w:p w:rsidR="009F23BE" w:rsidRDefault="009F23BE" w:rsidP="00F16670">
            <w:pPr>
              <w:spacing w:line="253" w:lineRule="atLeast"/>
              <w:rPr>
                <w:rFonts w:ascii="Arial" w:hAnsi="Arial" w:cs="Arial"/>
                <w:i/>
                <w:sz w:val="20"/>
                <w:szCs w:val="20"/>
              </w:rPr>
            </w:pPr>
            <w:r>
              <w:rPr>
                <w:rFonts w:ascii="Arial" w:hAnsi="Arial" w:cs="Arial"/>
                <w:i/>
                <w:sz w:val="20"/>
                <w:szCs w:val="20"/>
              </w:rPr>
              <w:t>Nombre de professionnels de santé impliqué dans la communication</w:t>
            </w:r>
          </w:p>
          <w:p w:rsidR="009F23BE" w:rsidRPr="000F6C85" w:rsidRDefault="009F23BE" w:rsidP="00F16670">
            <w:pPr>
              <w:spacing w:line="253" w:lineRule="atLeast"/>
              <w:rPr>
                <w:rFonts w:ascii="Arial" w:hAnsi="Arial" w:cs="Arial"/>
                <w:i/>
                <w:sz w:val="20"/>
                <w:szCs w:val="20"/>
              </w:rPr>
            </w:pPr>
            <w:r>
              <w:rPr>
                <w:rFonts w:ascii="Arial" w:hAnsi="Arial" w:cs="Arial"/>
                <w:i/>
                <w:sz w:val="20"/>
                <w:szCs w:val="20"/>
              </w:rPr>
              <w:t xml:space="preserve">Nombre de personnes appelées durant le plan canicule </w:t>
            </w:r>
          </w:p>
          <w:p w:rsidR="006C222A" w:rsidRPr="00413208" w:rsidRDefault="006C222A" w:rsidP="00F16670">
            <w:pPr>
              <w:spacing w:line="253" w:lineRule="atLeast"/>
              <w:rPr>
                <w:rFonts w:ascii="Arial" w:eastAsia="Times New Roman" w:hAnsi="Arial" w:cs="Arial"/>
                <w:b/>
                <w:bCs/>
                <w:i/>
                <w:sz w:val="20"/>
                <w:szCs w:val="20"/>
                <w:lang w:eastAsia="fr-FR"/>
              </w:rPr>
            </w:pPr>
          </w:p>
          <w:p w:rsidR="009F23BE" w:rsidRPr="009F23BE"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rsidR="009F23BE" w:rsidRDefault="009F23BE" w:rsidP="00F16670">
            <w:pPr>
              <w:spacing w:line="253" w:lineRule="atLeast"/>
              <w:rPr>
                <w:rFonts w:ascii="Arial" w:eastAsia="Times New Roman" w:hAnsi="Arial" w:cs="Arial"/>
                <w:bCs/>
                <w:i/>
                <w:sz w:val="20"/>
                <w:szCs w:val="20"/>
                <w:lang w:eastAsia="fr-FR"/>
              </w:rPr>
            </w:pPr>
          </w:p>
          <w:p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EA7DFE" w:rsidRDefault="009F23BE" w:rsidP="00F16670">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 xml:space="preserve">Dénombrement des personnes aux réunions : fiches de présence </w:t>
            </w:r>
          </w:p>
          <w:p w:rsidR="009F23BE" w:rsidRDefault="009F23BE" w:rsidP="00F16670">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 xml:space="preserve">Dénombrement de l’activité de la plateforme </w:t>
            </w:r>
          </w:p>
          <w:p w:rsidR="009F23BE" w:rsidRDefault="009F23BE" w:rsidP="00F16670">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 xml:space="preserve">Dénombrement des bénévoles </w:t>
            </w:r>
          </w:p>
          <w:p w:rsidR="009F23BE" w:rsidRPr="009F23BE" w:rsidRDefault="009F23BE" w:rsidP="00F16670">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Dénombrement des personnes âgées recensées et appelées</w:t>
            </w: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DC" w:rsidRDefault="00F435DC" w:rsidP="000F65D0">
      <w:pPr>
        <w:spacing w:after="0" w:line="240" w:lineRule="auto"/>
      </w:pPr>
      <w:r>
        <w:separator/>
      </w:r>
    </w:p>
  </w:endnote>
  <w:endnote w:type="continuationSeparator" w:id="0">
    <w:p w:rsidR="00F435DC" w:rsidRDefault="00F435DC"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DC" w:rsidRDefault="00F435DC" w:rsidP="000F65D0">
      <w:pPr>
        <w:spacing w:after="0" w:line="240" w:lineRule="auto"/>
      </w:pPr>
      <w:r>
        <w:separator/>
      </w:r>
    </w:p>
  </w:footnote>
  <w:footnote w:type="continuationSeparator" w:id="0">
    <w:p w:rsidR="00F435DC" w:rsidRDefault="00F435DC"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A2C"/>
    <w:multiLevelType w:val="multilevel"/>
    <w:tmpl w:val="0DB082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32495D"/>
    <w:multiLevelType w:val="hybridMultilevel"/>
    <w:tmpl w:val="C248C1A6"/>
    <w:lvl w:ilvl="0" w:tplc="26D627F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B567BE"/>
    <w:multiLevelType w:val="hybridMultilevel"/>
    <w:tmpl w:val="4EE89E30"/>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3" w15:restartNumberingAfterBreak="0">
    <w:nsid w:val="28AB66D1"/>
    <w:multiLevelType w:val="hybridMultilevel"/>
    <w:tmpl w:val="572EF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B82CC3"/>
    <w:multiLevelType w:val="multilevel"/>
    <w:tmpl w:val="06DC6A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2"/>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4D"/>
    <w:rsid w:val="00003907"/>
    <w:rsid w:val="000369F8"/>
    <w:rsid w:val="000415CE"/>
    <w:rsid w:val="000467C4"/>
    <w:rsid w:val="00062BE7"/>
    <w:rsid w:val="000663A6"/>
    <w:rsid w:val="0007266E"/>
    <w:rsid w:val="00081313"/>
    <w:rsid w:val="0009071D"/>
    <w:rsid w:val="0009118B"/>
    <w:rsid w:val="00092B06"/>
    <w:rsid w:val="00095BF8"/>
    <w:rsid w:val="000B410A"/>
    <w:rsid w:val="000B7FD6"/>
    <w:rsid w:val="000D20D5"/>
    <w:rsid w:val="000F65D0"/>
    <w:rsid w:val="000F6C85"/>
    <w:rsid w:val="0010452D"/>
    <w:rsid w:val="00132058"/>
    <w:rsid w:val="001361D6"/>
    <w:rsid w:val="00143098"/>
    <w:rsid w:val="001514A1"/>
    <w:rsid w:val="00155A3B"/>
    <w:rsid w:val="001772B5"/>
    <w:rsid w:val="001A363E"/>
    <w:rsid w:val="001B5676"/>
    <w:rsid w:val="001B66A4"/>
    <w:rsid w:val="001D2B35"/>
    <w:rsid w:val="001D3C27"/>
    <w:rsid w:val="001D5A64"/>
    <w:rsid w:val="001F3366"/>
    <w:rsid w:val="00200CC5"/>
    <w:rsid w:val="00220C2D"/>
    <w:rsid w:val="002216CC"/>
    <w:rsid w:val="00232B63"/>
    <w:rsid w:val="00232D46"/>
    <w:rsid w:val="002369FA"/>
    <w:rsid w:val="00236FB1"/>
    <w:rsid w:val="0027785F"/>
    <w:rsid w:val="00283654"/>
    <w:rsid w:val="002A03EA"/>
    <w:rsid w:val="002B2249"/>
    <w:rsid w:val="002B64AB"/>
    <w:rsid w:val="002C3F5E"/>
    <w:rsid w:val="002C5D0C"/>
    <w:rsid w:val="002E030B"/>
    <w:rsid w:val="002E571E"/>
    <w:rsid w:val="002F799F"/>
    <w:rsid w:val="00302BF2"/>
    <w:rsid w:val="00303F67"/>
    <w:rsid w:val="00304537"/>
    <w:rsid w:val="0031277A"/>
    <w:rsid w:val="00317EE6"/>
    <w:rsid w:val="003211AB"/>
    <w:rsid w:val="00354DE9"/>
    <w:rsid w:val="0036710F"/>
    <w:rsid w:val="0039458C"/>
    <w:rsid w:val="003B3017"/>
    <w:rsid w:val="003B50D4"/>
    <w:rsid w:val="003C1972"/>
    <w:rsid w:val="003C5A06"/>
    <w:rsid w:val="003C7858"/>
    <w:rsid w:val="003D3A7D"/>
    <w:rsid w:val="003D7039"/>
    <w:rsid w:val="003E06AB"/>
    <w:rsid w:val="003E6827"/>
    <w:rsid w:val="003F4186"/>
    <w:rsid w:val="00406721"/>
    <w:rsid w:val="00413208"/>
    <w:rsid w:val="004205F4"/>
    <w:rsid w:val="00437A0B"/>
    <w:rsid w:val="004438EA"/>
    <w:rsid w:val="004538FE"/>
    <w:rsid w:val="00454C16"/>
    <w:rsid w:val="0046751A"/>
    <w:rsid w:val="00470F3C"/>
    <w:rsid w:val="00485C93"/>
    <w:rsid w:val="00491B06"/>
    <w:rsid w:val="00493814"/>
    <w:rsid w:val="00497CC6"/>
    <w:rsid w:val="004B09AF"/>
    <w:rsid w:val="004D2233"/>
    <w:rsid w:val="004E3FC8"/>
    <w:rsid w:val="00514B68"/>
    <w:rsid w:val="00520A61"/>
    <w:rsid w:val="00522E72"/>
    <w:rsid w:val="005259C1"/>
    <w:rsid w:val="005279BE"/>
    <w:rsid w:val="005424C3"/>
    <w:rsid w:val="00562D16"/>
    <w:rsid w:val="00565122"/>
    <w:rsid w:val="0057104E"/>
    <w:rsid w:val="00581B8F"/>
    <w:rsid w:val="005843B6"/>
    <w:rsid w:val="0058636E"/>
    <w:rsid w:val="00590386"/>
    <w:rsid w:val="005B3191"/>
    <w:rsid w:val="005B45F0"/>
    <w:rsid w:val="005C4530"/>
    <w:rsid w:val="005C6B90"/>
    <w:rsid w:val="005D223B"/>
    <w:rsid w:val="005E3E50"/>
    <w:rsid w:val="005F1C88"/>
    <w:rsid w:val="006018BF"/>
    <w:rsid w:val="00603E4F"/>
    <w:rsid w:val="006075C2"/>
    <w:rsid w:val="006103D7"/>
    <w:rsid w:val="00635DD5"/>
    <w:rsid w:val="00642029"/>
    <w:rsid w:val="00645F05"/>
    <w:rsid w:val="00667A06"/>
    <w:rsid w:val="00683C9E"/>
    <w:rsid w:val="00697F84"/>
    <w:rsid w:val="006C222A"/>
    <w:rsid w:val="006C508C"/>
    <w:rsid w:val="006E7AC4"/>
    <w:rsid w:val="006E7EA4"/>
    <w:rsid w:val="006F6247"/>
    <w:rsid w:val="007006B6"/>
    <w:rsid w:val="0070294D"/>
    <w:rsid w:val="0072428A"/>
    <w:rsid w:val="00737BD8"/>
    <w:rsid w:val="007452AB"/>
    <w:rsid w:val="00765FA6"/>
    <w:rsid w:val="007A2C05"/>
    <w:rsid w:val="007A43F5"/>
    <w:rsid w:val="007C6079"/>
    <w:rsid w:val="007C733F"/>
    <w:rsid w:val="007D344D"/>
    <w:rsid w:val="007F5BDF"/>
    <w:rsid w:val="007F5EE5"/>
    <w:rsid w:val="008124C7"/>
    <w:rsid w:val="0083674A"/>
    <w:rsid w:val="0084326F"/>
    <w:rsid w:val="0085285D"/>
    <w:rsid w:val="00853973"/>
    <w:rsid w:val="00867184"/>
    <w:rsid w:val="00880675"/>
    <w:rsid w:val="008955BD"/>
    <w:rsid w:val="008B1140"/>
    <w:rsid w:val="008D6145"/>
    <w:rsid w:val="008D747C"/>
    <w:rsid w:val="008E00F9"/>
    <w:rsid w:val="008E2932"/>
    <w:rsid w:val="008E35E9"/>
    <w:rsid w:val="0090054A"/>
    <w:rsid w:val="0090317F"/>
    <w:rsid w:val="009166B5"/>
    <w:rsid w:val="009302A4"/>
    <w:rsid w:val="00931A42"/>
    <w:rsid w:val="009507D8"/>
    <w:rsid w:val="00960EB5"/>
    <w:rsid w:val="00993EAA"/>
    <w:rsid w:val="00996C61"/>
    <w:rsid w:val="009B2256"/>
    <w:rsid w:val="009D1504"/>
    <w:rsid w:val="009D2C12"/>
    <w:rsid w:val="009E216D"/>
    <w:rsid w:val="009E3C5B"/>
    <w:rsid w:val="009E5171"/>
    <w:rsid w:val="009F23BE"/>
    <w:rsid w:val="00A05F6F"/>
    <w:rsid w:val="00A06420"/>
    <w:rsid w:val="00A064B3"/>
    <w:rsid w:val="00A12491"/>
    <w:rsid w:val="00A17758"/>
    <w:rsid w:val="00A26463"/>
    <w:rsid w:val="00A35419"/>
    <w:rsid w:val="00A44738"/>
    <w:rsid w:val="00A50A11"/>
    <w:rsid w:val="00A52410"/>
    <w:rsid w:val="00A57895"/>
    <w:rsid w:val="00A65EA5"/>
    <w:rsid w:val="00A7149B"/>
    <w:rsid w:val="00A84D22"/>
    <w:rsid w:val="00A853BA"/>
    <w:rsid w:val="00A85539"/>
    <w:rsid w:val="00A91263"/>
    <w:rsid w:val="00A95222"/>
    <w:rsid w:val="00AA0832"/>
    <w:rsid w:val="00AA64E8"/>
    <w:rsid w:val="00AB46F7"/>
    <w:rsid w:val="00AC4EAF"/>
    <w:rsid w:val="00AC64C8"/>
    <w:rsid w:val="00AE0A60"/>
    <w:rsid w:val="00B30CB5"/>
    <w:rsid w:val="00B3589D"/>
    <w:rsid w:val="00B6113B"/>
    <w:rsid w:val="00B63045"/>
    <w:rsid w:val="00B63C78"/>
    <w:rsid w:val="00B77E55"/>
    <w:rsid w:val="00B90206"/>
    <w:rsid w:val="00BA28B9"/>
    <w:rsid w:val="00BA59FE"/>
    <w:rsid w:val="00BA67BA"/>
    <w:rsid w:val="00BB4009"/>
    <w:rsid w:val="00BB46BC"/>
    <w:rsid w:val="00BC1EC3"/>
    <w:rsid w:val="00BC68A1"/>
    <w:rsid w:val="00BD43A8"/>
    <w:rsid w:val="00BD6522"/>
    <w:rsid w:val="00C064B1"/>
    <w:rsid w:val="00C108AC"/>
    <w:rsid w:val="00C20F50"/>
    <w:rsid w:val="00C24B6E"/>
    <w:rsid w:val="00C55AAD"/>
    <w:rsid w:val="00C64A31"/>
    <w:rsid w:val="00C66B41"/>
    <w:rsid w:val="00C67C76"/>
    <w:rsid w:val="00C861E6"/>
    <w:rsid w:val="00CA5EAF"/>
    <w:rsid w:val="00CB0C23"/>
    <w:rsid w:val="00CB1869"/>
    <w:rsid w:val="00CB2089"/>
    <w:rsid w:val="00CB54D6"/>
    <w:rsid w:val="00CE1864"/>
    <w:rsid w:val="00CE2A16"/>
    <w:rsid w:val="00CF332C"/>
    <w:rsid w:val="00CF4089"/>
    <w:rsid w:val="00CF5A01"/>
    <w:rsid w:val="00D06A10"/>
    <w:rsid w:val="00D207A0"/>
    <w:rsid w:val="00D26527"/>
    <w:rsid w:val="00D326AA"/>
    <w:rsid w:val="00D411E8"/>
    <w:rsid w:val="00D515D0"/>
    <w:rsid w:val="00D6315F"/>
    <w:rsid w:val="00D857D5"/>
    <w:rsid w:val="00D918EE"/>
    <w:rsid w:val="00D9224D"/>
    <w:rsid w:val="00D93E1D"/>
    <w:rsid w:val="00DA31A8"/>
    <w:rsid w:val="00DB1DCC"/>
    <w:rsid w:val="00DC5BF0"/>
    <w:rsid w:val="00DD41B9"/>
    <w:rsid w:val="00DE7211"/>
    <w:rsid w:val="00E22823"/>
    <w:rsid w:val="00E26FF2"/>
    <w:rsid w:val="00E4089D"/>
    <w:rsid w:val="00E42C22"/>
    <w:rsid w:val="00E71DC1"/>
    <w:rsid w:val="00E92D2D"/>
    <w:rsid w:val="00EA7DFE"/>
    <w:rsid w:val="00EB1BBA"/>
    <w:rsid w:val="00EC51E6"/>
    <w:rsid w:val="00ED0575"/>
    <w:rsid w:val="00EE1636"/>
    <w:rsid w:val="00EE519C"/>
    <w:rsid w:val="00F008ED"/>
    <w:rsid w:val="00F16670"/>
    <w:rsid w:val="00F4306F"/>
    <w:rsid w:val="00F435DC"/>
    <w:rsid w:val="00F44C49"/>
    <w:rsid w:val="00F47D59"/>
    <w:rsid w:val="00F56621"/>
    <w:rsid w:val="00F67A8A"/>
    <w:rsid w:val="00F71D52"/>
    <w:rsid w:val="00F743EE"/>
    <w:rsid w:val="00F77CFC"/>
    <w:rsid w:val="00F91A39"/>
    <w:rsid w:val="00F940FE"/>
    <w:rsid w:val="00FA242B"/>
    <w:rsid w:val="00FB0EB1"/>
    <w:rsid w:val="00FC2812"/>
    <w:rsid w:val="00FE0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02B3"/>
  <w15:docId w15:val="{23A56593-BA81-4277-8CB1-8C85473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unhideWhenUsed/>
    <w:rsid w:val="000663A6"/>
    <w:rPr>
      <w:color w:val="0000FF"/>
      <w:u w:val="single"/>
    </w:rPr>
  </w:style>
  <w:style w:type="character" w:customStyle="1" w:styleId="Mentionnonrsolue1">
    <w:name w:val="Mention non résolue1"/>
    <w:basedOn w:val="Policepardfaut"/>
    <w:uiPriority w:val="99"/>
    <w:semiHidden/>
    <w:unhideWhenUsed/>
    <w:rsid w:val="0027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292995"/>
    <w:rsid w:val="00461B3A"/>
    <w:rsid w:val="004A0CE2"/>
    <w:rsid w:val="00600894"/>
    <w:rsid w:val="006A25DD"/>
    <w:rsid w:val="0070219A"/>
    <w:rsid w:val="007D6325"/>
    <w:rsid w:val="007F6977"/>
    <w:rsid w:val="008624D3"/>
    <w:rsid w:val="00880E1B"/>
    <w:rsid w:val="008E0070"/>
    <w:rsid w:val="009B4F8E"/>
    <w:rsid w:val="009C782F"/>
    <w:rsid w:val="009D2B51"/>
    <w:rsid w:val="00A12EAD"/>
    <w:rsid w:val="00AE3AC6"/>
    <w:rsid w:val="00BC1AB3"/>
    <w:rsid w:val="00CF0536"/>
    <w:rsid w:val="00D41A19"/>
    <w:rsid w:val="00D52621"/>
    <w:rsid w:val="00E21CF5"/>
    <w:rsid w:val="00E84E5F"/>
    <w:rsid w:val="00E85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1647-F5A3-4919-B3FA-4FC6A1CC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1425</Words>
  <Characters>7843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PETR</cp:lastModifiedBy>
  <cp:revision>17</cp:revision>
  <cp:lastPrinted>2019-09-16T13:02:00Z</cp:lastPrinted>
  <dcterms:created xsi:type="dcterms:W3CDTF">2022-06-15T14:47:00Z</dcterms:created>
  <dcterms:modified xsi:type="dcterms:W3CDTF">2022-09-13T14:21:00Z</dcterms:modified>
</cp:coreProperties>
</file>