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2014"/>
        <w:gridCol w:w="3230"/>
      </w:tblGrid>
      <w:tr w:rsidR="00DC5BF0" w:rsidRPr="00697F84" w:rsidTr="00E1263B">
        <w:trPr>
          <w:trHeight w:val="641"/>
          <w:jc w:val="center"/>
        </w:trPr>
        <w:tc>
          <w:tcPr>
            <w:tcW w:w="2547" w:type="dxa"/>
            <w:tcBorders>
              <w:bottom w:val="single" w:sz="4" w:space="0" w:color="auto"/>
            </w:tcBorders>
            <w:shd w:val="clear" w:color="auto" w:fill="FFFFFF" w:themeFill="background1"/>
            <w:vAlign w:val="center"/>
          </w:tcPr>
          <w:p w:rsidR="00DC5BF0" w:rsidRPr="00EE1636" w:rsidRDefault="00B3589D" w:rsidP="00D9224D">
            <w:r w:rsidRPr="00EE1636">
              <w:t>Action</w:t>
            </w:r>
            <w:r w:rsidR="001F3366" w:rsidRPr="00EE1636">
              <w:t xml:space="preserve"> </w:t>
            </w:r>
            <w:r w:rsidR="00D9224D">
              <w:t>n°</w:t>
            </w:r>
            <w:r w:rsidR="002A3D11">
              <w:t xml:space="preserve"> 4.4</w:t>
            </w:r>
          </w:p>
        </w:tc>
        <w:tc>
          <w:tcPr>
            <w:tcW w:w="7033" w:type="dxa"/>
            <w:gridSpan w:val="4"/>
            <w:tcBorders>
              <w:bottom w:val="single" w:sz="4" w:space="0" w:color="auto"/>
            </w:tcBorders>
            <w:shd w:val="clear" w:color="auto" w:fill="FFFFFF" w:themeFill="background1"/>
            <w:vAlign w:val="center"/>
          </w:tcPr>
          <w:p w:rsidR="00CF5A01" w:rsidRPr="00BA59FE" w:rsidRDefault="001E521F" w:rsidP="00E1263B">
            <w:pPr>
              <w:jc w:val="center"/>
              <w:rPr>
                <w:rFonts w:ascii="Helvetica" w:hAnsi="Helvetica" w:cs="Helvetica"/>
                <w:b/>
                <w:color w:val="000000"/>
                <w:shd w:val="clear" w:color="auto" w:fill="FFFFFF"/>
              </w:rPr>
            </w:pPr>
            <w:r>
              <w:rPr>
                <w:rFonts w:ascii="Helvetica" w:hAnsi="Helvetica" w:cs="Helvetica"/>
                <w:b/>
                <w:color w:val="000000"/>
                <w:shd w:val="clear" w:color="auto" w:fill="FFFFFF"/>
              </w:rPr>
              <w:t>Développer et faire connaitre les dispositifs de soutien</w:t>
            </w:r>
            <w:r w:rsidR="00E1263B">
              <w:rPr>
                <w:rFonts w:ascii="Helvetica" w:hAnsi="Helvetica" w:cs="Helvetica"/>
                <w:b/>
                <w:color w:val="000000"/>
                <w:shd w:val="clear" w:color="auto" w:fill="FFFFFF"/>
              </w:rPr>
              <w:br/>
            </w:r>
            <w:r>
              <w:rPr>
                <w:rFonts w:ascii="Helvetica" w:hAnsi="Helvetica" w:cs="Helvetica"/>
                <w:b/>
                <w:color w:val="000000"/>
                <w:shd w:val="clear" w:color="auto" w:fill="FFFFFF"/>
              </w:rPr>
              <w:t xml:space="preserve">à la parentalité et de médiation familiale. </w:t>
            </w:r>
          </w:p>
        </w:tc>
      </w:tr>
      <w:tr w:rsidR="00BA67BA" w:rsidRPr="00697F84" w:rsidTr="00E1263B">
        <w:trPr>
          <w:jc w:val="center"/>
        </w:trPr>
        <w:tc>
          <w:tcPr>
            <w:tcW w:w="2547" w:type="dxa"/>
            <w:tcBorders>
              <w:left w:val="nil"/>
              <w:right w:val="nil"/>
            </w:tcBorders>
            <w:shd w:val="clear" w:color="auto" w:fill="FFFFFF" w:themeFill="background1"/>
            <w:vAlign w:val="center"/>
          </w:tcPr>
          <w:p w:rsidR="00BA67BA" w:rsidRPr="00697F84" w:rsidRDefault="00BA67BA" w:rsidP="00BA67BA">
            <w:pPr>
              <w:rPr>
                <w:rFonts w:ascii="Arial" w:hAnsi="Arial" w:cs="Arial"/>
                <w:b/>
                <w:sz w:val="20"/>
                <w:szCs w:val="20"/>
              </w:rPr>
            </w:pPr>
          </w:p>
        </w:tc>
        <w:tc>
          <w:tcPr>
            <w:tcW w:w="7033" w:type="dxa"/>
            <w:gridSpan w:val="4"/>
            <w:tcBorders>
              <w:left w:val="nil"/>
              <w:right w:val="nil"/>
            </w:tcBorders>
          </w:tcPr>
          <w:p w:rsidR="00BA67BA" w:rsidRPr="00697F84" w:rsidRDefault="00BA67BA" w:rsidP="003C7858">
            <w:pPr>
              <w:jc w:val="both"/>
              <w:rPr>
                <w:rFonts w:ascii="Arial" w:hAnsi="Arial" w:cs="Arial"/>
                <w:noProof/>
                <w:sz w:val="20"/>
                <w:szCs w:val="20"/>
              </w:rPr>
            </w:pPr>
          </w:p>
        </w:tc>
      </w:tr>
      <w:tr w:rsidR="00354DE9" w:rsidRPr="00354DE9" w:rsidTr="00E1263B">
        <w:trPr>
          <w:trHeight w:val="487"/>
          <w:jc w:val="center"/>
        </w:trPr>
        <w:tc>
          <w:tcPr>
            <w:tcW w:w="2547" w:type="dxa"/>
            <w:shd w:val="clear" w:color="auto" w:fill="FFFFFF" w:themeFill="background1"/>
            <w:vAlign w:val="center"/>
          </w:tcPr>
          <w:p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7033" w:type="dxa"/>
            <w:gridSpan w:val="4"/>
            <w:shd w:val="clear" w:color="auto" w:fill="auto"/>
          </w:tcPr>
          <w:p w:rsidR="002A03EA" w:rsidRDefault="001514A1" w:rsidP="00BA59FE">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bookmarkStart w:id="0" w:name="CaseACocher62"/>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w:t>
            </w:r>
            <w:r w:rsidR="00003907" w:rsidRPr="00354DE9">
              <w:rPr>
                <w:rFonts w:ascii="Arial" w:hAnsi="Arial" w:cs="Arial"/>
                <w:sz w:val="20"/>
                <w:szCs w:val="20"/>
              </w:rPr>
              <w:t xml:space="preserve">Nouvelle action     </w:t>
            </w: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003907" w:rsidRPr="00354DE9">
              <w:rPr>
                <w:rFonts w:ascii="Arial" w:hAnsi="Arial" w:cs="Arial"/>
                <w:sz w:val="20"/>
                <w:szCs w:val="20"/>
              </w:rPr>
              <w:t xml:space="preserve"> Action expérimentale     </w:t>
            </w: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rsidR="00003907" w:rsidRPr="00354DE9" w:rsidRDefault="007B5518" w:rsidP="002A03EA">
            <w:pPr>
              <w:autoSpaceDE w:val="0"/>
              <w:autoSpaceDN w:val="0"/>
              <w:adjustRightInd w:val="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6F6247">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rsidTr="00E1263B">
        <w:trPr>
          <w:trHeight w:val="323"/>
          <w:jc w:val="center"/>
        </w:trPr>
        <w:tc>
          <w:tcPr>
            <w:tcW w:w="2547" w:type="dxa"/>
            <w:vMerge w:val="restart"/>
            <w:shd w:val="clear" w:color="auto" w:fill="auto"/>
            <w:vAlign w:val="center"/>
          </w:tcPr>
          <w:p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332" w:type="dxa"/>
            <w:gridSpan w:val="3"/>
            <w:shd w:val="clear" w:color="auto" w:fill="auto"/>
            <w:vAlign w:val="center"/>
          </w:tcPr>
          <w:p w:rsidR="00CE2A16" w:rsidRPr="00CB1869" w:rsidRDefault="007B5518" w:rsidP="003B4B0E">
            <w:pPr>
              <w:rPr>
                <w:rFonts w:ascii="Arial" w:hAnsi="Arial" w:cs="Arial"/>
                <w:i/>
                <w:sz w:val="20"/>
                <w:szCs w:val="20"/>
              </w:rPr>
            </w:pPr>
            <w:r>
              <w:rPr>
                <w:rFonts w:ascii="Arial" w:hAnsi="Arial" w:cs="Arial"/>
                <w:i/>
                <w:sz w:val="20"/>
                <w:szCs w:val="20"/>
              </w:rPr>
              <w:t xml:space="preserve">Département </w:t>
            </w:r>
            <w:r w:rsidR="00964B2E">
              <w:rPr>
                <w:rFonts w:ascii="Arial" w:hAnsi="Arial" w:cs="Arial"/>
                <w:i/>
                <w:sz w:val="20"/>
                <w:szCs w:val="20"/>
              </w:rPr>
              <w:t>et CAF</w:t>
            </w:r>
          </w:p>
        </w:tc>
      </w:tr>
      <w:tr w:rsidR="00CE2A16" w:rsidRPr="00354DE9" w:rsidTr="00E1263B">
        <w:trPr>
          <w:trHeight w:val="322"/>
          <w:jc w:val="center"/>
        </w:trPr>
        <w:tc>
          <w:tcPr>
            <w:tcW w:w="2547" w:type="dxa"/>
            <w:vMerge/>
            <w:shd w:val="clear" w:color="auto" w:fill="auto"/>
            <w:vAlign w:val="center"/>
          </w:tcPr>
          <w:p w:rsidR="00CE2A16" w:rsidRPr="00354DE9" w:rsidRDefault="00CE2A16" w:rsidP="00BA59FE">
            <w:pPr>
              <w:rPr>
                <w:rFonts w:ascii="Arial" w:hAnsi="Arial" w:cs="Arial"/>
                <w:b/>
                <w:sz w:val="20"/>
                <w:szCs w:val="20"/>
              </w:rPr>
            </w:pPr>
          </w:p>
        </w:tc>
        <w:tc>
          <w:tcPr>
            <w:tcW w:w="1701" w:type="dxa"/>
            <w:shd w:val="clear" w:color="auto" w:fill="auto"/>
            <w:vAlign w:val="center"/>
          </w:tcPr>
          <w:p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332" w:type="dxa"/>
            <w:gridSpan w:val="3"/>
            <w:shd w:val="clear" w:color="auto" w:fill="auto"/>
            <w:vAlign w:val="center"/>
          </w:tcPr>
          <w:p w:rsidR="00CE2A16" w:rsidRPr="00CB1869" w:rsidRDefault="007B5518" w:rsidP="003B4B0E">
            <w:pPr>
              <w:rPr>
                <w:rFonts w:ascii="Arial" w:hAnsi="Arial" w:cs="Arial"/>
                <w:i/>
                <w:sz w:val="20"/>
                <w:szCs w:val="20"/>
              </w:rPr>
            </w:pPr>
            <w:r>
              <w:rPr>
                <w:rFonts w:ascii="Arial" w:hAnsi="Arial" w:cs="Arial"/>
                <w:i/>
                <w:sz w:val="20"/>
                <w:szCs w:val="20"/>
              </w:rPr>
              <w:t xml:space="preserve">Emmanuelle KONE </w:t>
            </w:r>
          </w:p>
        </w:tc>
      </w:tr>
      <w:tr w:rsidR="00354DE9" w:rsidRPr="00354DE9" w:rsidTr="00E1263B">
        <w:trPr>
          <w:trHeight w:val="324"/>
          <w:jc w:val="center"/>
        </w:trPr>
        <w:tc>
          <w:tcPr>
            <w:tcW w:w="2547" w:type="dxa"/>
            <w:shd w:val="clear" w:color="auto" w:fill="FFFFFF" w:themeFill="background1"/>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7033" w:type="dxa"/>
            <w:gridSpan w:val="4"/>
            <w:vAlign w:val="center"/>
          </w:tcPr>
          <w:p w:rsidR="0057104E" w:rsidRPr="00F743EE" w:rsidRDefault="00CF5A01" w:rsidP="00D9224D">
            <w:pPr>
              <w:rPr>
                <w:rFonts w:ascii="Arial" w:hAnsi="Arial" w:cs="Arial"/>
                <w:b/>
                <w:bCs/>
                <w:sz w:val="20"/>
                <w:szCs w:val="20"/>
              </w:rPr>
            </w:pPr>
            <w:r w:rsidRPr="00F743EE">
              <w:rPr>
                <w:rFonts w:ascii="Arial" w:hAnsi="Arial" w:cs="Arial"/>
                <w:b/>
                <w:bCs/>
                <w:sz w:val="20"/>
                <w:szCs w:val="20"/>
              </w:rPr>
              <w:t xml:space="preserve">Axe </w:t>
            </w:r>
            <w:r w:rsidR="00E76BA1">
              <w:rPr>
                <w:rFonts w:ascii="Arial" w:hAnsi="Arial" w:cs="Arial"/>
                <w:b/>
                <w:bCs/>
                <w:sz w:val="20"/>
                <w:szCs w:val="20"/>
              </w:rPr>
              <w:t>Santé des enfan</w:t>
            </w:r>
            <w:r w:rsidR="007B5518">
              <w:rPr>
                <w:rFonts w:ascii="Arial" w:hAnsi="Arial" w:cs="Arial"/>
                <w:b/>
                <w:bCs/>
                <w:sz w:val="20"/>
                <w:szCs w:val="20"/>
              </w:rPr>
              <w:t>ts, des adolescents et de jeunes</w:t>
            </w:r>
          </w:p>
        </w:tc>
      </w:tr>
      <w:tr w:rsidR="00354DE9" w:rsidRPr="00354DE9" w:rsidTr="00E1263B">
        <w:trPr>
          <w:trHeight w:val="600"/>
          <w:jc w:val="center"/>
        </w:trPr>
        <w:tc>
          <w:tcPr>
            <w:tcW w:w="2547" w:type="dxa"/>
            <w:shd w:val="clear" w:color="auto" w:fill="FFFFFF" w:themeFill="background1"/>
            <w:vAlign w:val="center"/>
          </w:tcPr>
          <w:p w:rsidR="009E5171" w:rsidRPr="00354DE9" w:rsidRDefault="009E5171" w:rsidP="00BA59FE">
            <w:pPr>
              <w:rPr>
                <w:rFonts w:ascii="Arial" w:hAnsi="Arial" w:cs="Arial"/>
                <w:b/>
                <w:sz w:val="20"/>
                <w:szCs w:val="20"/>
              </w:rPr>
            </w:pPr>
            <w:r w:rsidRPr="00354DE9">
              <w:rPr>
                <w:rFonts w:ascii="Arial" w:hAnsi="Arial" w:cs="Arial"/>
                <w:b/>
                <w:sz w:val="20"/>
                <w:szCs w:val="20"/>
              </w:rPr>
              <w:t>Contexte et enjeux locaux</w:t>
            </w:r>
          </w:p>
        </w:tc>
        <w:tc>
          <w:tcPr>
            <w:tcW w:w="7033" w:type="dxa"/>
            <w:gridSpan w:val="4"/>
            <w:vAlign w:val="center"/>
          </w:tcPr>
          <w:p w:rsidR="00F37CE5" w:rsidRPr="00E1263B" w:rsidRDefault="00F37CE5" w:rsidP="00C84165">
            <w:pPr>
              <w:jc w:val="both"/>
              <w:rPr>
                <w:rFonts w:ascii="Arial" w:hAnsi="Arial" w:cs="Arial"/>
                <w:sz w:val="20"/>
                <w:szCs w:val="20"/>
              </w:rPr>
            </w:pPr>
            <w:r w:rsidRPr="00E1263B">
              <w:rPr>
                <w:rFonts w:ascii="Arial" w:hAnsi="Arial" w:cs="Arial"/>
                <w:sz w:val="20"/>
                <w:szCs w:val="20"/>
              </w:rPr>
              <w:t>Le nouveau schéma de service aux familles associent l’ARS à la CAF et au Département dans le pilotage de sa mise en œuvre.</w:t>
            </w:r>
            <w:r w:rsidR="00FF710F" w:rsidRPr="00E1263B">
              <w:rPr>
                <w:rFonts w:ascii="Arial" w:hAnsi="Arial" w:cs="Arial"/>
                <w:sz w:val="20"/>
                <w:szCs w:val="20"/>
              </w:rPr>
              <w:t xml:space="preserve"> </w:t>
            </w:r>
          </w:p>
          <w:p w:rsidR="00FA6C77" w:rsidRPr="00E1263B" w:rsidRDefault="00FA6C77" w:rsidP="00C84165">
            <w:pPr>
              <w:jc w:val="both"/>
              <w:rPr>
                <w:rFonts w:ascii="Arial" w:hAnsi="Arial" w:cs="Arial"/>
                <w:sz w:val="20"/>
                <w:szCs w:val="20"/>
              </w:rPr>
            </w:pPr>
          </w:p>
          <w:p w:rsidR="00F37CE5" w:rsidRPr="00E1263B" w:rsidRDefault="00FA6C77" w:rsidP="00C84165">
            <w:pPr>
              <w:jc w:val="both"/>
              <w:rPr>
                <w:rFonts w:ascii="Arial" w:hAnsi="Arial" w:cs="Arial"/>
                <w:sz w:val="20"/>
                <w:szCs w:val="20"/>
              </w:rPr>
            </w:pPr>
            <w:r w:rsidRPr="00E1263B">
              <w:rPr>
                <w:rFonts w:ascii="Arial" w:hAnsi="Arial" w:cs="Arial"/>
                <w:sz w:val="20"/>
                <w:szCs w:val="20"/>
              </w:rPr>
              <w:t>Différentes difficultés ou accident de la vie viennent fragiliser parent</w:t>
            </w:r>
            <w:r w:rsidR="00E1263B" w:rsidRPr="00E1263B">
              <w:rPr>
                <w:rFonts w:ascii="Arial" w:hAnsi="Arial" w:cs="Arial"/>
                <w:sz w:val="20"/>
                <w:szCs w:val="20"/>
              </w:rPr>
              <w:t>s</w:t>
            </w:r>
            <w:r w:rsidRPr="00E1263B">
              <w:rPr>
                <w:rFonts w:ascii="Arial" w:hAnsi="Arial" w:cs="Arial"/>
                <w:sz w:val="20"/>
                <w:szCs w:val="20"/>
              </w:rPr>
              <w:t xml:space="preserve"> et enfants. Les séparations conflictuelles </w:t>
            </w:r>
            <w:r w:rsidR="00FF710F" w:rsidRPr="00E1263B">
              <w:rPr>
                <w:rFonts w:ascii="Arial" w:hAnsi="Arial" w:cs="Arial"/>
                <w:sz w:val="20"/>
                <w:szCs w:val="20"/>
              </w:rPr>
              <w:t xml:space="preserve">et conflits durables </w:t>
            </w:r>
            <w:r w:rsidRPr="00E1263B">
              <w:rPr>
                <w:rFonts w:ascii="Arial" w:hAnsi="Arial" w:cs="Arial"/>
                <w:sz w:val="20"/>
                <w:szCs w:val="20"/>
              </w:rPr>
              <w:t>constitue</w:t>
            </w:r>
            <w:r w:rsidR="00FF710F" w:rsidRPr="00E1263B">
              <w:rPr>
                <w:rFonts w:ascii="Arial" w:hAnsi="Arial" w:cs="Arial"/>
                <w:sz w:val="20"/>
                <w:szCs w:val="20"/>
              </w:rPr>
              <w:t>nt</w:t>
            </w:r>
            <w:r w:rsidRPr="00E1263B">
              <w:rPr>
                <w:rFonts w:ascii="Arial" w:hAnsi="Arial" w:cs="Arial"/>
                <w:sz w:val="20"/>
                <w:szCs w:val="20"/>
              </w:rPr>
              <w:t xml:space="preserve"> un enjeu important </w:t>
            </w:r>
            <w:r w:rsidR="00FF710F" w:rsidRPr="00E1263B">
              <w:rPr>
                <w:rFonts w:ascii="Arial" w:hAnsi="Arial" w:cs="Arial"/>
                <w:sz w:val="20"/>
                <w:szCs w:val="20"/>
              </w:rPr>
              <w:t>d’impact sur la santé psychique pour</w:t>
            </w:r>
            <w:r w:rsidRPr="00E1263B">
              <w:rPr>
                <w:rFonts w:ascii="Arial" w:hAnsi="Arial" w:cs="Arial"/>
                <w:sz w:val="20"/>
                <w:szCs w:val="20"/>
              </w:rPr>
              <w:t xml:space="preserve"> l’enfant,</w:t>
            </w:r>
            <w:r w:rsidR="00FF710F" w:rsidRPr="00E1263B">
              <w:rPr>
                <w:rFonts w:ascii="Arial" w:hAnsi="Arial" w:cs="Arial"/>
                <w:sz w:val="20"/>
                <w:szCs w:val="20"/>
              </w:rPr>
              <w:t xml:space="preserve"> </w:t>
            </w:r>
            <w:r w:rsidRPr="00E1263B">
              <w:rPr>
                <w:rFonts w:ascii="Arial" w:hAnsi="Arial" w:cs="Arial"/>
                <w:sz w:val="20"/>
                <w:szCs w:val="20"/>
              </w:rPr>
              <w:t xml:space="preserve">dont il convient d’amoindrir l’impact </w:t>
            </w:r>
            <w:r w:rsidR="00FF710F" w:rsidRPr="00E1263B">
              <w:rPr>
                <w:rFonts w:ascii="Arial" w:hAnsi="Arial" w:cs="Arial"/>
                <w:sz w:val="20"/>
                <w:szCs w:val="20"/>
              </w:rPr>
              <w:t xml:space="preserve">défavorable </w:t>
            </w:r>
            <w:r w:rsidRPr="00E1263B">
              <w:rPr>
                <w:rFonts w:ascii="Arial" w:hAnsi="Arial" w:cs="Arial"/>
                <w:sz w:val="20"/>
                <w:szCs w:val="20"/>
              </w:rPr>
              <w:t xml:space="preserve">sur </w:t>
            </w:r>
            <w:r w:rsidR="00FF710F" w:rsidRPr="00E1263B">
              <w:rPr>
                <w:rFonts w:ascii="Arial" w:hAnsi="Arial" w:cs="Arial"/>
                <w:sz w:val="20"/>
                <w:szCs w:val="20"/>
              </w:rPr>
              <w:t xml:space="preserve">son </w:t>
            </w:r>
            <w:r w:rsidRPr="00E1263B">
              <w:rPr>
                <w:rFonts w:ascii="Arial" w:hAnsi="Arial" w:cs="Arial"/>
                <w:sz w:val="20"/>
                <w:szCs w:val="20"/>
              </w:rPr>
              <w:t>développement, sur les apprentissages sc</w:t>
            </w:r>
            <w:r w:rsidR="00FF710F" w:rsidRPr="00E1263B">
              <w:rPr>
                <w:rFonts w:ascii="Arial" w:hAnsi="Arial" w:cs="Arial"/>
                <w:sz w:val="20"/>
                <w:szCs w:val="20"/>
              </w:rPr>
              <w:t>o</w:t>
            </w:r>
            <w:r w:rsidRPr="00E1263B">
              <w:rPr>
                <w:rFonts w:ascii="Arial" w:hAnsi="Arial" w:cs="Arial"/>
                <w:sz w:val="20"/>
                <w:szCs w:val="20"/>
              </w:rPr>
              <w:t>laires</w:t>
            </w:r>
            <w:r w:rsidR="00FF710F" w:rsidRPr="00E1263B">
              <w:rPr>
                <w:rFonts w:ascii="Arial" w:hAnsi="Arial" w:cs="Arial"/>
                <w:sz w:val="20"/>
                <w:szCs w:val="20"/>
              </w:rPr>
              <w:t>, sur son bien-être et sa santé</w:t>
            </w:r>
            <w:r w:rsidRPr="00E1263B">
              <w:rPr>
                <w:rFonts w:ascii="Arial" w:hAnsi="Arial" w:cs="Arial"/>
                <w:sz w:val="20"/>
                <w:szCs w:val="20"/>
              </w:rPr>
              <w:t>.</w:t>
            </w:r>
          </w:p>
          <w:p w:rsidR="00E1263B" w:rsidRDefault="00E1263B" w:rsidP="00C84165">
            <w:pPr>
              <w:jc w:val="both"/>
              <w:rPr>
                <w:rFonts w:ascii="Arial" w:hAnsi="Arial" w:cs="Arial"/>
                <w:sz w:val="20"/>
                <w:szCs w:val="20"/>
              </w:rPr>
            </w:pPr>
          </w:p>
          <w:p w:rsidR="00C84165" w:rsidRDefault="007B5518" w:rsidP="0058545B">
            <w:pPr>
              <w:jc w:val="both"/>
              <w:rPr>
                <w:rFonts w:ascii="Arial" w:hAnsi="Arial" w:cs="Arial"/>
              </w:rPr>
            </w:pPr>
            <w:r>
              <w:rPr>
                <w:rFonts w:ascii="Arial" w:hAnsi="Arial" w:cs="Arial"/>
                <w:sz w:val="20"/>
                <w:szCs w:val="20"/>
              </w:rPr>
              <w:t xml:space="preserve">Le territoire n’est pas totalement couvert par des lieux ressources </w:t>
            </w:r>
            <w:r w:rsidR="0058545B">
              <w:rPr>
                <w:rFonts w:ascii="Arial" w:hAnsi="Arial" w:cs="Arial"/>
                <w:sz w:val="20"/>
                <w:szCs w:val="20"/>
              </w:rPr>
              <w:t>facilement accessible</w:t>
            </w:r>
            <w:r w:rsidR="00E1263B">
              <w:rPr>
                <w:rFonts w:ascii="Arial" w:hAnsi="Arial" w:cs="Arial"/>
                <w:sz w:val="20"/>
                <w:szCs w:val="20"/>
              </w:rPr>
              <w:t>s</w:t>
            </w:r>
            <w:r w:rsidR="0058545B">
              <w:rPr>
                <w:rFonts w:ascii="Arial" w:hAnsi="Arial" w:cs="Arial"/>
                <w:sz w:val="20"/>
                <w:szCs w:val="20"/>
              </w:rPr>
              <w:t xml:space="preserve"> </w:t>
            </w:r>
            <w:r>
              <w:rPr>
                <w:rFonts w:ascii="Arial" w:hAnsi="Arial" w:cs="Arial"/>
                <w:sz w:val="20"/>
                <w:szCs w:val="20"/>
              </w:rPr>
              <w:t>et</w:t>
            </w:r>
            <w:r w:rsidRPr="007B5518">
              <w:rPr>
                <w:rFonts w:ascii="Arial" w:hAnsi="Arial" w:cs="Arial"/>
                <w:sz w:val="20"/>
                <w:szCs w:val="20"/>
              </w:rPr>
              <w:t xml:space="preserve"> une offre de services de proximité</w:t>
            </w:r>
            <w:r w:rsidR="00A432DC">
              <w:rPr>
                <w:rFonts w:ascii="Arial" w:hAnsi="Arial" w:cs="Arial"/>
                <w:sz w:val="20"/>
                <w:szCs w:val="20"/>
              </w:rPr>
              <w:t xml:space="preserve"> suffisante</w:t>
            </w:r>
            <w:r w:rsidRPr="007B5518">
              <w:rPr>
                <w:rFonts w:ascii="Arial" w:hAnsi="Arial" w:cs="Arial"/>
                <w:sz w:val="20"/>
                <w:szCs w:val="20"/>
              </w:rPr>
              <w:t>.</w:t>
            </w:r>
            <w:r w:rsidR="0058545B">
              <w:rPr>
                <w:rFonts w:ascii="Arial" w:hAnsi="Arial" w:cs="Arial"/>
                <w:sz w:val="20"/>
                <w:szCs w:val="20"/>
              </w:rPr>
              <w:t xml:space="preserve"> </w:t>
            </w:r>
            <w:r w:rsidR="00E1263B">
              <w:rPr>
                <w:rFonts w:ascii="Arial" w:hAnsi="Arial" w:cs="Arial"/>
                <w:sz w:val="20"/>
                <w:szCs w:val="20"/>
              </w:rPr>
              <w:br/>
            </w:r>
            <w:r w:rsidR="005C5EDE">
              <w:rPr>
                <w:rFonts w:ascii="Arial" w:hAnsi="Arial" w:cs="Arial"/>
                <w:sz w:val="20"/>
                <w:szCs w:val="20"/>
              </w:rPr>
              <w:t>Une première cible d’impact porte sur 1</w:t>
            </w:r>
            <w:r w:rsidR="00E1263B">
              <w:rPr>
                <w:rFonts w:ascii="Arial" w:hAnsi="Arial" w:cs="Arial"/>
                <w:sz w:val="20"/>
                <w:szCs w:val="20"/>
              </w:rPr>
              <w:t xml:space="preserve"> </w:t>
            </w:r>
            <w:r w:rsidR="005C5EDE">
              <w:rPr>
                <w:rFonts w:ascii="Arial" w:hAnsi="Arial" w:cs="Arial"/>
                <w:sz w:val="20"/>
                <w:szCs w:val="20"/>
              </w:rPr>
              <w:t>281 enfants</w:t>
            </w:r>
            <w:r w:rsidR="00FA6C77">
              <w:rPr>
                <w:rFonts w:ascii="Arial" w:hAnsi="Arial" w:cs="Arial"/>
                <w:sz w:val="20"/>
                <w:szCs w:val="20"/>
              </w:rPr>
              <w:t xml:space="preserve"> </w:t>
            </w:r>
            <w:r w:rsidR="005C5EDE">
              <w:rPr>
                <w:rFonts w:ascii="Arial" w:hAnsi="Arial" w:cs="Arial"/>
                <w:sz w:val="20"/>
                <w:szCs w:val="20"/>
              </w:rPr>
              <w:t xml:space="preserve">de moins de 6 ans sur ce territoire. </w:t>
            </w:r>
            <w:r w:rsidR="00FA6C77">
              <w:rPr>
                <w:rFonts w:ascii="Arial" w:hAnsi="Arial" w:cs="Arial"/>
                <w:sz w:val="20"/>
                <w:szCs w:val="20"/>
              </w:rPr>
              <w:t>Il convie</w:t>
            </w:r>
            <w:r w:rsidR="00FF710F">
              <w:rPr>
                <w:rFonts w:ascii="Arial" w:hAnsi="Arial" w:cs="Arial"/>
                <w:sz w:val="20"/>
                <w:szCs w:val="20"/>
              </w:rPr>
              <w:t>n</w:t>
            </w:r>
            <w:r w:rsidR="00FA6C77">
              <w:rPr>
                <w:rFonts w:ascii="Arial" w:hAnsi="Arial" w:cs="Arial"/>
                <w:sz w:val="20"/>
                <w:szCs w:val="20"/>
              </w:rPr>
              <w:t xml:space="preserve">t </w:t>
            </w:r>
            <w:r w:rsidR="00FF710F">
              <w:rPr>
                <w:rFonts w:ascii="Arial" w:hAnsi="Arial" w:cs="Arial"/>
                <w:sz w:val="20"/>
                <w:szCs w:val="20"/>
              </w:rPr>
              <w:t xml:space="preserve">à la fois </w:t>
            </w:r>
            <w:r w:rsidR="00FA6C77">
              <w:rPr>
                <w:rFonts w:ascii="Arial" w:hAnsi="Arial" w:cs="Arial"/>
                <w:sz w:val="20"/>
                <w:szCs w:val="20"/>
              </w:rPr>
              <w:t>de poursuivre le dévelo</w:t>
            </w:r>
            <w:r w:rsidR="00FF710F">
              <w:rPr>
                <w:rFonts w:ascii="Arial" w:hAnsi="Arial" w:cs="Arial"/>
                <w:sz w:val="20"/>
                <w:szCs w:val="20"/>
              </w:rPr>
              <w:t xml:space="preserve">ppement de cette couverture, et </w:t>
            </w:r>
            <w:r w:rsidR="0058545B">
              <w:rPr>
                <w:rFonts w:ascii="Arial" w:hAnsi="Arial" w:cs="Arial"/>
                <w:sz w:val="20"/>
                <w:szCs w:val="20"/>
              </w:rPr>
              <w:t xml:space="preserve">de </w:t>
            </w:r>
            <w:r w:rsidR="0058545B" w:rsidRPr="00E1263B">
              <w:rPr>
                <w:rFonts w:ascii="Arial" w:hAnsi="Arial" w:cs="Arial"/>
                <w:sz w:val="20"/>
                <w:szCs w:val="20"/>
              </w:rPr>
              <w:t>favoriser</w:t>
            </w:r>
            <w:r w:rsidR="00FA6C77" w:rsidRPr="00E1263B">
              <w:rPr>
                <w:rFonts w:ascii="Arial" w:hAnsi="Arial" w:cs="Arial"/>
                <w:sz w:val="20"/>
                <w:szCs w:val="20"/>
              </w:rPr>
              <w:t xml:space="preserve"> </w:t>
            </w:r>
            <w:r w:rsidR="00C84165" w:rsidRPr="00E1263B">
              <w:rPr>
                <w:rFonts w:ascii="Arial" w:hAnsi="Arial" w:cs="Arial"/>
                <w:sz w:val="20"/>
                <w:szCs w:val="20"/>
              </w:rPr>
              <w:t xml:space="preserve">un maillage progressif du territoire en matière d’offre </w:t>
            </w:r>
            <w:r w:rsidR="0058545B" w:rsidRPr="00E1263B">
              <w:rPr>
                <w:rFonts w:ascii="Arial" w:hAnsi="Arial" w:cs="Arial"/>
                <w:sz w:val="20"/>
                <w:szCs w:val="20"/>
              </w:rPr>
              <w:t xml:space="preserve">et de synergie </w:t>
            </w:r>
            <w:r w:rsidR="00CD651C" w:rsidRPr="00E1263B">
              <w:rPr>
                <w:rFonts w:ascii="Arial" w:hAnsi="Arial" w:cs="Arial"/>
                <w:sz w:val="20"/>
                <w:szCs w:val="20"/>
              </w:rPr>
              <w:t xml:space="preserve">d’acteurs multiples et de coordination </w:t>
            </w:r>
            <w:r w:rsidR="0058545B" w:rsidRPr="00E1263B">
              <w:rPr>
                <w:rFonts w:ascii="Arial" w:hAnsi="Arial" w:cs="Arial"/>
                <w:sz w:val="20"/>
                <w:szCs w:val="20"/>
              </w:rPr>
              <w:t>d’action</w:t>
            </w:r>
            <w:r w:rsidR="00CD651C" w:rsidRPr="00E1263B">
              <w:rPr>
                <w:rFonts w:ascii="Arial" w:hAnsi="Arial" w:cs="Arial"/>
                <w:sz w:val="20"/>
                <w:szCs w:val="20"/>
              </w:rPr>
              <w:t>s</w:t>
            </w:r>
            <w:r w:rsidR="0058545B" w:rsidRPr="00E1263B">
              <w:rPr>
                <w:rFonts w:ascii="Arial" w:hAnsi="Arial" w:cs="Arial"/>
                <w:sz w:val="20"/>
                <w:szCs w:val="20"/>
              </w:rPr>
              <w:t xml:space="preserve"> et du champ de l</w:t>
            </w:r>
            <w:r w:rsidR="00C84165" w:rsidRPr="00E1263B">
              <w:rPr>
                <w:rFonts w:ascii="Arial" w:hAnsi="Arial" w:cs="Arial"/>
                <w:sz w:val="20"/>
                <w:szCs w:val="20"/>
              </w:rPr>
              <w:t>’accompagnement à la parentalité</w:t>
            </w:r>
            <w:r w:rsidR="00FA6C77">
              <w:rPr>
                <w:rFonts w:ascii="Arial" w:hAnsi="Arial" w:cs="Arial"/>
              </w:rPr>
              <w:t xml:space="preserve"> </w:t>
            </w:r>
          </w:p>
          <w:p w:rsidR="00D9224D" w:rsidRPr="00BA59FE" w:rsidRDefault="00D9224D" w:rsidP="00A432DC">
            <w:pPr>
              <w:rPr>
                <w:rFonts w:ascii="Arial" w:hAnsi="Arial" w:cs="Arial"/>
                <w:sz w:val="20"/>
                <w:szCs w:val="20"/>
              </w:rPr>
            </w:pPr>
          </w:p>
        </w:tc>
      </w:tr>
      <w:tr w:rsidR="00354DE9" w:rsidRPr="00354DE9" w:rsidTr="00E1263B">
        <w:trPr>
          <w:trHeight w:val="681"/>
          <w:jc w:val="center"/>
        </w:trPr>
        <w:tc>
          <w:tcPr>
            <w:tcW w:w="2547" w:type="dxa"/>
            <w:shd w:val="clear" w:color="auto" w:fill="FFFFFF" w:themeFill="background1"/>
            <w:vAlign w:val="center"/>
          </w:tcPr>
          <w:p w:rsidR="009507D8" w:rsidRPr="00E92D2D" w:rsidRDefault="00853973" w:rsidP="00155A3B">
            <w:pPr>
              <w:rPr>
                <w:rFonts w:ascii="Arial" w:hAnsi="Arial" w:cs="Arial"/>
                <w:b/>
                <w:sz w:val="20"/>
                <w:szCs w:val="20"/>
              </w:rPr>
            </w:pPr>
            <w:r w:rsidRPr="00E92D2D">
              <w:rPr>
                <w:rFonts w:ascii="Arial" w:hAnsi="Arial" w:cs="Arial"/>
                <w:b/>
                <w:sz w:val="20"/>
                <w:szCs w:val="20"/>
              </w:rPr>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7033" w:type="dxa"/>
            <w:gridSpan w:val="4"/>
            <w:vAlign w:val="center"/>
          </w:tcPr>
          <w:p w:rsidR="005B3191" w:rsidRDefault="002856CC"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5B3191" w:rsidRPr="00635DD5">
              <w:rPr>
                <w:rFonts w:ascii="Arial" w:hAnsi="Arial" w:cs="Arial"/>
                <w:sz w:val="20"/>
                <w:szCs w:val="20"/>
              </w:rPr>
              <w:t xml:space="preserve">Axe 1 : Prévention   </w:t>
            </w:r>
            <w:sdt>
              <w:sdtPr>
                <w:rPr>
                  <w:rFonts w:ascii="Arial" w:hAnsi="Arial" w:cs="Arial"/>
                  <w:sz w:val="20"/>
                  <w:szCs w:val="20"/>
                </w:rPr>
                <w:alias w:val="Objectifs Axe 1"/>
                <w:tag w:val="Objectifs Axe 1"/>
                <w:id w:val="388237479"/>
                <w:placeholder>
                  <w:docPart w:val="DefaultPlaceholder_1082065159"/>
                </w:placeholder>
                <w:showingPlcHd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sidR="00635DD5"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00E22823"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00E22823" w:rsidRPr="00B83B06">
                  <w:rPr>
                    <w:rStyle w:val="Textedelespacerserv"/>
                  </w:rPr>
                  <w:t>Choisissez un élément.</w:t>
                </w:r>
              </w:sdtContent>
            </w:sdt>
          </w:p>
          <w:p w:rsidR="00E22823" w:rsidRDefault="002856CC"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Pr>
                    <w:rFonts w:ascii="Arial" w:hAnsi="Arial" w:cs="Arial"/>
                    <w:sz w:val="20"/>
                    <w:szCs w:val="20"/>
                  </w:rPr>
                  <w:t>Objectif 01.2 - Renforcer les actions de prévention et de promotion de la santé chez l’enfant et l’adolescent : Développer une politique volontariste de soutien à la parentalité</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showingPlcHd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sidR="00A06420" w:rsidRPr="00B83B06">
                  <w:rPr>
                    <w:rStyle w:val="Textedelespacerserv"/>
                  </w:rPr>
                  <w:t>Choisissez un élément.</w:t>
                </w:r>
              </w:sdtContent>
            </w:sdt>
          </w:p>
          <w:p w:rsidR="00E22823" w:rsidRDefault="002856CC"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Pr>
                    <w:rFonts w:ascii="Arial" w:hAnsi="Arial" w:cs="Arial"/>
                    <w:sz w:val="20"/>
                    <w:szCs w:val="20"/>
                  </w:rPr>
                  <w:t xml:space="preserve"> </w:t>
                </w:r>
              </w:sdtContent>
            </w:sdt>
          </w:p>
          <w:p w:rsidR="00BD6522"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00BD6522" w:rsidRPr="00B83B06">
                  <w:rPr>
                    <w:rStyle w:val="Textedelespacerserv"/>
                  </w:rPr>
                  <w:t>Choisissez un élément.</w:t>
                </w:r>
              </w:sdtContent>
            </w:sdt>
          </w:p>
          <w:p w:rsidR="003E6827" w:rsidRDefault="001361D6"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B83B06">
                  <w:rPr>
                    <w:rStyle w:val="Textedelespacerserv"/>
                  </w:rPr>
                  <w:t>Choisissez un élément.</w:t>
                </w:r>
              </w:sdtContent>
            </w:sdt>
          </w:p>
          <w:p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rsidR="00F91A39"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p w:rsidR="00867184" w:rsidRPr="00E92D2D" w:rsidRDefault="00867184" w:rsidP="00BD6522">
            <w:pPr>
              <w:rPr>
                <w:rFonts w:ascii="Arial" w:hAnsi="Arial" w:cs="Arial"/>
                <w:sz w:val="20"/>
                <w:szCs w:val="20"/>
              </w:rPr>
            </w:pPr>
          </w:p>
        </w:tc>
      </w:tr>
      <w:tr w:rsidR="009B2256" w:rsidRPr="00354DE9" w:rsidTr="00E1263B">
        <w:trPr>
          <w:trHeight w:val="681"/>
          <w:jc w:val="center"/>
        </w:trPr>
        <w:tc>
          <w:tcPr>
            <w:tcW w:w="2547" w:type="dxa"/>
            <w:shd w:val="clear" w:color="auto" w:fill="FFFFFF" w:themeFill="background1"/>
            <w:vAlign w:val="center"/>
          </w:tcPr>
          <w:p w:rsidR="009B2256" w:rsidRPr="00E92D2D" w:rsidRDefault="009B2256" w:rsidP="00155A3B">
            <w:pPr>
              <w:rPr>
                <w:rFonts w:ascii="Arial" w:hAnsi="Arial" w:cs="Arial"/>
                <w:b/>
                <w:sz w:val="20"/>
                <w:szCs w:val="20"/>
              </w:rPr>
            </w:pPr>
            <w:r>
              <w:rPr>
                <w:rFonts w:ascii="Arial" w:hAnsi="Arial" w:cs="Arial"/>
                <w:b/>
                <w:sz w:val="20"/>
                <w:szCs w:val="20"/>
              </w:rPr>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7033" w:type="dxa"/>
            <w:gridSpan w:val="4"/>
            <w:vAlign w:val="center"/>
          </w:tcPr>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A26463" w:rsidRPr="00B83B06">
                  <w:rPr>
                    <w:rStyle w:val="Textedelespacerserv"/>
                  </w:rPr>
                  <w:t>Choisissez un élément.</w:t>
                </w:r>
              </w:sdtContent>
            </w:sdt>
            <w:r>
              <w:rPr>
                <w:rFonts w:ascii="Arial" w:hAnsi="Arial" w:cs="Arial"/>
                <w:sz w:val="20"/>
                <w:szCs w:val="20"/>
              </w:rPr>
              <w:t xml:space="preserve"> </w:t>
            </w:r>
          </w:p>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A26463" w:rsidRPr="00B83B06">
                  <w:rPr>
                    <w:rStyle w:val="Textedelespacerserv"/>
                  </w:rPr>
                  <w:t>Choisissez un élément.</w:t>
                </w:r>
              </w:sdtContent>
            </w:sdt>
            <w:r w:rsidR="00A26463">
              <w:rPr>
                <w:rFonts w:ascii="Arial" w:hAnsi="Arial" w:cs="Arial"/>
                <w:sz w:val="20"/>
                <w:szCs w:val="20"/>
              </w:rPr>
              <w:t xml:space="preserve"> </w:t>
            </w:r>
          </w:p>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3 : Les clés pour agir en faveur de la santé environnement au </w:t>
            </w:r>
            <w:r w:rsidR="00E1263B">
              <w:rPr>
                <w:rFonts w:ascii="Arial" w:hAnsi="Arial" w:cs="Arial"/>
                <w:sz w:val="20"/>
                <w:szCs w:val="20"/>
              </w:rPr>
              <w:br/>
              <w:t xml:space="preserve">                  </w:t>
            </w:r>
            <w:r>
              <w:rPr>
                <w:rFonts w:ascii="Arial" w:hAnsi="Arial" w:cs="Arial"/>
                <w:sz w:val="20"/>
                <w:szCs w:val="20"/>
              </w:rPr>
              <w:t xml:space="preserve">quotidien </w:t>
            </w:r>
            <w:sdt>
              <w:sdtPr>
                <w:rPr>
                  <w:rFonts w:ascii="Arial" w:hAnsi="Arial" w:cs="Arial"/>
                  <w:sz w:val="20"/>
                  <w:szCs w:val="20"/>
                </w:rPr>
                <w:alias w:val="Objectifs Axe 3"/>
                <w:tag w:val="Objectifs Axe 3"/>
                <w:id w:val="-1431500170"/>
                <w:placeholder>
                  <w:docPart w:val="86A6216FE90244D8AD8EF54FC6093150"/>
                </w:placeholder>
                <w:showingPlcHd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26463" w:rsidRPr="00B83B06">
                  <w:rPr>
                    <w:rStyle w:val="Textedelespacerserv"/>
                  </w:rPr>
                  <w:t>Choisissez un élément.</w:t>
                </w:r>
              </w:sdtContent>
            </w:sdt>
          </w:p>
          <w:p w:rsidR="00880675" w:rsidRDefault="00C84165" w:rsidP="00F91A39">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A432DC">
              <w:rPr>
                <w:rFonts w:ascii="Arial" w:hAnsi="Arial" w:cs="Arial"/>
                <w:sz w:val="20"/>
                <w:szCs w:val="20"/>
              </w:rPr>
              <w:t xml:space="preserve"> </w:t>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tc>
      </w:tr>
      <w:tr w:rsidR="005C6B90" w:rsidRPr="00354DE9" w:rsidTr="00E1263B">
        <w:trPr>
          <w:jc w:val="center"/>
        </w:trPr>
        <w:tc>
          <w:tcPr>
            <w:tcW w:w="2547" w:type="dxa"/>
            <w:shd w:val="clear" w:color="auto" w:fill="FFFFFF" w:themeFill="background1"/>
            <w:vAlign w:val="center"/>
          </w:tcPr>
          <w:p w:rsidR="005C6B90" w:rsidRPr="00354DE9" w:rsidRDefault="005C6B90" w:rsidP="00E1263B">
            <w:pPr>
              <w:rPr>
                <w:rFonts w:ascii="Arial" w:hAnsi="Arial" w:cs="Arial"/>
                <w:b/>
                <w:sz w:val="20"/>
                <w:szCs w:val="20"/>
              </w:rPr>
            </w:pPr>
            <w:r>
              <w:rPr>
                <w:rFonts w:ascii="Arial" w:hAnsi="Arial" w:cs="Arial"/>
                <w:b/>
                <w:sz w:val="20"/>
                <w:szCs w:val="20"/>
              </w:rPr>
              <w:t>Objectif général</w:t>
            </w:r>
            <w:r w:rsidR="00E1263B">
              <w:rPr>
                <w:rFonts w:ascii="Arial" w:hAnsi="Arial" w:cs="Arial"/>
                <w:b/>
                <w:sz w:val="20"/>
                <w:szCs w:val="20"/>
              </w:rPr>
              <w:br/>
            </w:r>
            <w:r w:rsidR="00454C16" w:rsidRPr="00454C16">
              <w:rPr>
                <w:rFonts w:ascii="Arial" w:hAnsi="Arial" w:cs="Arial"/>
                <w:i/>
                <w:color w:val="002060"/>
                <w:sz w:val="16"/>
                <w:szCs w:val="20"/>
              </w:rPr>
              <w:t>(si indiqué)</w:t>
            </w:r>
          </w:p>
        </w:tc>
        <w:tc>
          <w:tcPr>
            <w:tcW w:w="7033" w:type="dxa"/>
            <w:gridSpan w:val="4"/>
            <w:shd w:val="clear" w:color="auto" w:fill="auto"/>
            <w:vAlign w:val="center"/>
          </w:tcPr>
          <w:p w:rsidR="00E1263B" w:rsidRDefault="00E1263B" w:rsidP="004B0C4D">
            <w:pPr>
              <w:jc w:val="both"/>
              <w:rPr>
                <w:rFonts w:ascii="Arial" w:hAnsi="Arial" w:cs="Arial"/>
                <w:sz w:val="20"/>
                <w:szCs w:val="20"/>
              </w:rPr>
            </w:pPr>
          </w:p>
          <w:p w:rsidR="005C6B90" w:rsidRDefault="001F0BA4" w:rsidP="004B0C4D">
            <w:pPr>
              <w:jc w:val="both"/>
              <w:rPr>
                <w:rFonts w:ascii="Arial" w:hAnsi="Arial" w:cs="Arial"/>
                <w:sz w:val="20"/>
                <w:szCs w:val="20"/>
              </w:rPr>
            </w:pPr>
            <w:r>
              <w:rPr>
                <w:rFonts w:ascii="Arial" w:hAnsi="Arial" w:cs="Arial"/>
                <w:sz w:val="20"/>
                <w:szCs w:val="20"/>
              </w:rPr>
              <w:t>Favoriser des liens pa</w:t>
            </w:r>
            <w:r w:rsidR="00C84165">
              <w:rPr>
                <w:rFonts w:ascii="Arial" w:hAnsi="Arial" w:cs="Arial"/>
                <w:sz w:val="20"/>
                <w:szCs w:val="20"/>
              </w:rPr>
              <w:t xml:space="preserve">rents-enfants bienveillants et rendre les parents acteurs </w:t>
            </w:r>
            <w:r>
              <w:rPr>
                <w:rFonts w:ascii="Arial" w:hAnsi="Arial" w:cs="Arial"/>
                <w:sz w:val="20"/>
                <w:szCs w:val="20"/>
              </w:rPr>
              <w:t>de la répons</w:t>
            </w:r>
            <w:r w:rsidR="00C84165">
              <w:rPr>
                <w:rFonts w:ascii="Arial" w:hAnsi="Arial" w:cs="Arial"/>
                <w:sz w:val="20"/>
                <w:szCs w:val="20"/>
              </w:rPr>
              <w:t>e aux besoins de leur(s) enfant(s)</w:t>
            </w:r>
          </w:p>
          <w:p w:rsidR="00E1263B" w:rsidRPr="00354DE9" w:rsidRDefault="00E1263B" w:rsidP="004B0C4D">
            <w:pPr>
              <w:jc w:val="both"/>
              <w:rPr>
                <w:rFonts w:ascii="Arial" w:hAnsi="Arial" w:cs="Arial"/>
                <w:sz w:val="20"/>
                <w:szCs w:val="20"/>
              </w:rPr>
            </w:pPr>
          </w:p>
        </w:tc>
      </w:tr>
      <w:tr w:rsidR="00354DE9" w:rsidRPr="00354DE9" w:rsidTr="00E1263B">
        <w:trPr>
          <w:jc w:val="center"/>
        </w:trPr>
        <w:tc>
          <w:tcPr>
            <w:tcW w:w="2547" w:type="dxa"/>
            <w:shd w:val="clear" w:color="auto" w:fill="FFFFFF" w:themeFill="background1"/>
            <w:vAlign w:val="center"/>
          </w:tcPr>
          <w:p w:rsidR="009507D8" w:rsidRPr="00354DE9" w:rsidRDefault="009507D8" w:rsidP="00E1263B">
            <w:pPr>
              <w:rPr>
                <w:rFonts w:ascii="Arial" w:hAnsi="Arial" w:cs="Arial"/>
                <w:b/>
                <w:sz w:val="20"/>
                <w:szCs w:val="20"/>
              </w:rPr>
            </w:pPr>
            <w:r w:rsidRPr="00354DE9">
              <w:rPr>
                <w:rFonts w:ascii="Arial" w:hAnsi="Arial" w:cs="Arial"/>
                <w:b/>
                <w:sz w:val="20"/>
                <w:szCs w:val="20"/>
              </w:rPr>
              <w:t xml:space="preserve">Objectifs </w:t>
            </w:r>
            <w:r w:rsidR="00354DE9" w:rsidRPr="00354DE9">
              <w:rPr>
                <w:rFonts w:ascii="Arial" w:hAnsi="Arial" w:cs="Arial"/>
                <w:b/>
                <w:sz w:val="20"/>
                <w:szCs w:val="20"/>
              </w:rPr>
              <w:t>spécifiques</w:t>
            </w:r>
            <w:r w:rsidR="00E1263B">
              <w:rPr>
                <w:rFonts w:ascii="Arial" w:hAnsi="Arial" w:cs="Arial"/>
                <w:b/>
                <w:sz w:val="20"/>
                <w:szCs w:val="20"/>
              </w:rPr>
              <w:br/>
            </w:r>
            <w:r w:rsidR="00454C16" w:rsidRPr="00454C16">
              <w:rPr>
                <w:rFonts w:ascii="Arial" w:hAnsi="Arial" w:cs="Arial"/>
                <w:i/>
                <w:color w:val="002060"/>
                <w:sz w:val="16"/>
                <w:szCs w:val="20"/>
              </w:rPr>
              <w:t>(si indiqué)</w:t>
            </w:r>
          </w:p>
        </w:tc>
        <w:tc>
          <w:tcPr>
            <w:tcW w:w="7033" w:type="dxa"/>
            <w:gridSpan w:val="4"/>
            <w:shd w:val="clear" w:color="auto" w:fill="auto"/>
            <w:vAlign w:val="center"/>
          </w:tcPr>
          <w:p w:rsidR="00E1263B" w:rsidRDefault="00E1263B" w:rsidP="004B0C4D">
            <w:pPr>
              <w:jc w:val="both"/>
              <w:rPr>
                <w:rFonts w:ascii="Helvetica" w:hAnsi="Helvetica" w:cs="Helvetica"/>
                <w:bCs/>
                <w:color w:val="000000"/>
                <w:sz w:val="20"/>
                <w:szCs w:val="20"/>
                <w:shd w:val="clear" w:color="auto" w:fill="FFFFFF"/>
              </w:rPr>
            </w:pPr>
          </w:p>
          <w:p w:rsidR="009507D8" w:rsidRDefault="00C84165" w:rsidP="004B0C4D">
            <w:pPr>
              <w:jc w:val="both"/>
              <w:rPr>
                <w:rFonts w:ascii="Helvetica" w:hAnsi="Helvetica" w:cs="Helvetica"/>
                <w:bCs/>
                <w:color w:val="000000"/>
                <w:sz w:val="20"/>
                <w:szCs w:val="20"/>
                <w:shd w:val="clear" w:color="auto" w:fill="FFFFFF"/>
              </w:rPr>
            </w:pPr>
            <w:r w:rsidRPr="00C84165">
              <w:rPr>
                <w:rFonts w:ascii="Helvetica" w:hAnsi="Helvetica" w:cs="Helvetica"/>
                <w:bCs/>
                <w:color w:val="000000"/>
                <w:sz w:val="20"/>
                <w:szCs w:val="20"/>
                <w:shd w:val="clear" w:color="auto" w:fill="FFFFFF"/>
              </w:rPr>
              <w:t>Souten</w:t>
            </w:r>
            <w:r w:rsidR="001F0BA4">
              <w:rPr>
                <w:rFonts w:ascii="Helvetica" w:hAnsi="Helvetica" w:cs="Helvetica"/>
                <w:bCs/>
                <w:color w:val="000000"/>
                <w:sz w:val="20"/>
                <w:szCs w:val="20"/>
                <w:shd w:val="clear" w:color="auto" w:fill="FFFFFF"/>
              </w:rPr>
              <w:t>ir la parentalité de tous les pa</w:t>
            </w:r>
            <w:r w:rsidRPr="00C84165">
              <w:rPr>
                <w:rFonts w:ascii="Helvetica" w:hAnsi="Helvetica" w:cs="Helvetica"/>
                <w:bCs/>
                <w:color w:val="000000"/>
                <w:sz w:val="20"/>
                <w:szCs w:val="20"/>
                <w:shd w:val="clear" w:color="auto" w:fill="FFFFFF"/>
              </w:rPr>
              <w:t>rents pour leur permettre de mieux répondre aux besoins de leur(s) enfant(s)</w:t>
            </w:r>
          </w:p>
          <w:p w:rsidR="00E1263B" w:rsidRPr="00C84165" w:rsidRDefault="00E1263B" w:rsidP="004B0C4D">
            <w:pPr>
              <w:jc w:val="both"/>
              <w:rPr>
                <w:rFonts w:ascii="Helvetica" w:hAnsi="Helvetica" w:cs="Helvetica"/>
                <w:bCs/>
                <w:color w:val="000000"/>
                <w:sz w:val="20"/>
                <w:szCs w:val="20"/>
                <w:shd w:val="clear" w:color="auto" w:fill="FFFFFF"/>
              </w:rPr>
            </w:pPr>
          </w:p>
        </w:tc>
      </w:tr>
      <w:tr w:rsidR="00354DE9" w:rsidRPr="00354DE9" w:rsidTr="00E1263B">
        <w:trPr>
          <w:trHeight w:val="28"/>
          <w:jc w:val="center"/>
        </w:trPr>
        <w:tc>
          <w:tcPr>
            <w:tcW w:w="2547" w:type="dxa"/>
            <w:shd w:val="clear" w:color="auto" w:fill="FFFFFF" w:themeFill="background1"/>
            <w:vAlign w:val="center"/>
          </w:tcPr>
          <w:p w:rsidR="00003907" w:rsidRPr="00354DE9" w:rsidRDefault="00354DE9" w:rsidP="00155A3B">
            <w:pPr>
              <w:rPr>
                <w:rFonts w:ascii="Arial" w:hAnsi="Arial" w:cs="Arial"/>
                <w:i/>
                <w:sz w:val="20"/>
                <w:szCs w:val="20"/>
              </w:rPr>
            </w:pPr>
            <w:r w:rsidRPr="00354DE9">
              <w:rPr>
                <w:rFonts w:ascii="Arial" w:hAnsi="Arial" w:cs="Arial"/>
                <w:b/>
                <w:sz w:val="20"/>
                <w:szCs w:val="20"/>
              </w:rPr>
              <w:lastRenderedPageBreak/>
              <w:t>Objectifs opérationnels</w:t>
            </w:r>
          </w:p>
        </w:tc>
        <w:tc>
          <w:tcPr>
            <w:tcW w:w="7033" w:type="dxa"/>
            <w:gridSpan w:val="4"/>
            <w:vAlign w:val="center"/>
          </w:tcPr>
          <w:p w:rsidR="00E1263B" w:rsidRDefault="00E1263B" w:rsidP="00E1263B">
            <w:pPr>
              <w:rPr>
                <w:rFonts w:ascii="Arial" w:hAnsi="Arial" w:cs="Arial"/>
                <w:sz w:val="20"/>
                <w:szCs w:val="20"/>
              </w:rPr>
            </w:pPr>
          </w:p>
          <w:p w:rsidR="00A84D22" w:rsidRDefault="00C84165" w:rsidP="004B0C4D">
            <w:pPr>
              <w:jc w:val="both"/>
              <w:rPr>
                <w:rFonts w:ascii="Arial" w:hAnsi="Arial" w:cs="Arial"/>
                <w:sz w:val="20"/>
                <w:szCs w:val="20"/>
              </w:rPr>
            </w:pPr>
            <w:r w:rsidRPr="00E1263B">
              <w:rPr>
                <w:rFonts w:ascii="Arial" w:hAnsi="Arial" w:cs="Arial"/>
                <w:sz w:val="20"/>
                <w:szCs w:val="20"/>
              </w:rPr>
              <w:t>Développer l</w:t>
            </w:r>
            <w:r w:rsidR="00FA6C77" w:rsidRPr="00E1263B">
              <w:rPr>
                <w:rFonts w:ascii="Arial" w:hAnsi="Arial" w:cs="Arial"/>
                <w:sz w:val="20"/>
                <w:szCs w:val="20"/>
              </w:rPr>
              <w:t xml:space="preserve">es services aux familles </w:t>
            </w:r>
            <w:r w:rsidR="00FF710F" w:rsidRPr="00E1263B">
              <w:rPr>
                <w:rFonts w:ascii="Arial" w:hAnsi="Arial" w:cs="Arial"/>
                <w:sz w:val="20"/>
                <w:szCs w:val="20"/>
              </w:rPr>
              <w:t xml:space="preserve">pour répondre suffisamment au besoin en médiation, LAEP </w:t>
            </w:r>
            <w:r w:rsidR="00FA6C77" w:rsidRPr="00E1263B">
              <w:rPr>
                <w:rFonts w:ascii="Arial" w:hAnsi="Arial" w:cs="Arial"/>
                <w:sz w:val="20"/>
                <w:szCs w:val="20"/>
              </w:rPr>
              <w:t>et</w:t>
            </w:r>
            <w:r w:rsidR="00FF710F" w:rsidRPr="00E1263B">
              <w:rPr>
                <w:rFonts w:ascii="Arial" w:hAnsi="Arial" w:cs="Arial"/>
                <w:sz w:val="20"/>
                <w:szCs w:val="20"/>
              </w:rPr>
              <w:t xml:space="preserve"> mieux impliquer et faire connaître </w:t>
            </w:r>
            <w:r w:rsidR="00E1263B" w:rsidRPr="00E1263B">
              <w:rPr>
                <w:rFonts w:ascii="Arial" w:hAnsi="Arial" w:cs="Arial"/>
                <w:sz w:val="20"/>
                <w:szCs w:val="20"/>
              </w:rPr>
              <w:t>l</w:t>
            </w:r>
            <w:r w:rsidRPr="00E1263B">
              <w:rPr>
                <w:rFonts w:ascii="Arial" w:hAnsi="Arial" w:cs="Arial"/>
                <w:sz w:val="20"/>
                <w:szCs w:val="20"/>
              </w:rPr>
              <w:t xml:space="preserve">’accompagnement des parents </w:t>
            </w:r>
            <w:r w:rsidR="00FF710F" w:rsidRPr="00E1263B">
              <w:rPr>
                <w:rFonts w:ascii="Arial" w:hAnsi="Arial" w:cs="Arial"/>
                <w:sz w:val="20"/>
                <w:szCs w:val="20"/>
              </w:rPr>
              <w:t>s’appuyant notamment sur le Réseau des parents 67 mais également sur les référents familles et animateurs des espaces de vie sociale (EVS), les CSC.</w:t>
            </w:r>
          </w:p>
          <w:p w:rsidR="00E1263B" w:rsidRPr="00E1263B" w:rsidRDefault="00E1263B" w:rsidP="00E1263B">
            <w:pPr>
              <w:rPr>
                <w:rFonts w:ascii="Arial" w:hAnsi="Arial" w:cs="Arial"/>
                <w:sz w:val="20"/>
                <w:szCs w:val="20"/>
              </w:rPr>
            </w:pPr>
          </w:p>
        </w:tc>
      </w:tr>
      <w:tr w:rsidR="00354DE9" w:rsidRPr="00354DE9" w:rsidTr="00E1263B">
        <w:trPr>
          <w:trHeight w:val="567"/>
          <w:jc w:val="center"/>
        </w:trPr>
        <w:tc>
          <w:tcPr>
            <w:tcW w:w="2547" w:type="dxa"/>
            <w:shd w:val="clear" w:color="auto" w:fill="auto"/>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Etapes de mise en œuvre – Description</w:t>
            </w:r>
          </w:p>
        </w:tc>
        <w:tc>
          <w:tcPr>
            <w:tcW w:w="7033" w:type="dxa"/>
            <w:gridSpan w:val="4"/>
            <w:shd w:val="clear" w:color="auto" w:fill="auto"/>
            <w:vAlign w:val="center"/>
          </w:tcPr>
          <w:p w:rsidR="0057104E" w:rsidRDefault="00C84165" w:rsidP="004B0C4D">
            <w:pPr>
              <w:pStyle w:val="Paragraphedeliste"/>
              <w:numPr>
                <w:ilvl w:val="0"/>
                <w:numId w:val="6"/>
              </w:numPr>
              <w:spacing w:line="253" w:lineRule="atLeast"/>
              <w:ind w:left="151" w:hanging="141"/>
              <w:jc w:val="both"/>
              <w:rPr>
                <w:rFonts w:ascii="Arial" w:hAnsi="Arial" w:cs="Arial"/>
                <w:sz w:val="20"/>
                <w:szCs w:val="20"/>
              </w:rPr>
            </w:pPr>
            <w:r w:rsidRPr="003B4B0E">
              <w:rPr>
                <w:rFonts w:ascii="Arial" w:hAnsi="Arial" w:cs="Arial"/>
                <w:sz w:val="20"/>
                <w:szCs w:val="20"/>
              </w:rPr>
              <w:t>Appel à projet dans le cadr</w:t>
            </w:r>
            <w:r w:rsidR="001F0BA4" w:rsidRPr="003B4B0E">
              <w:rPr>
                <w:rFonts w:ascii="Arial" w:hAnsi="Arial" w:cs="Arial"/>
                <w:sz w:val="20"/>
                <w:szCs w:val="20"/>
              </w:rPr>
              <w:t>e de la stratégie nationale de p</w:t>
            </w:r>
            <w:r w:rsidRPr="003B4B0E">
              <w:rPr>
                <w:rFonts w:ascii="Arial" w:hAnsi="Arial" w:cs="Arial"/>
                <w:sz w:val="20"/>
                <w:szCs w:val="20"/>
              </w:rPr>
              <w:t>révention et de lutte contre la pauvreté</w:t>
            </w:r>
            <w:r w:rsidR="00081046" w:rsidRPr="003B4B0E">
              <w:rPr>
                <w:rFonts w:ascii="Arial" w:hAnsi="Arial" w:cs="Arial"/>
                <w:sz w:val="20"/>
                <w:szCs w:val="20"/>
              </w:rPr>
              <w:t xml:space="preserve"> – clôture décembre 2019 instruction et décision au plus tard février 2020</w:t>
            </w:r>
            <w:r w:rsidR="000133B0" w:rsidRPr="003B4B0E">
              <w:rPr>
                <w:rFonts w:ascii="Arial" w:hAnsi="Arial" w:cs="Arial"/>
                <w:sz w:val="20"/>
                <w:szCs w:val="20"/>
              </w:rPr>
              <w:t xml:space="preserve"> puis suivi de projet</w:t>
            </w:r>
          </w:p>
          <w:p w:rsidR="00E1263B" w:rsidRPr="003B4B0E" w:rsidRDefault="00E1263B" w:rsidP="004B0C4D">
            <w:pPr>
              <w:pStyle w:val="Paragraphedeliste"/>
              <w:spacing w:line="253" w:lineRule="atLeast"/>
              <w:ind w:left="151" w:hanging="141"/>
              <w:jc w:val="both"/>
              <w:rPr>
                <w:rFonts w:ascii="Arial" w:hAnsi="Arial" w:cs="Arial"/>
                <w:sz w:val="20"/>
                <w:szCs w:val="20"/>
              </w:rPr>
            </w:pPr>
          </w:p>
          <w:p w:rsidR="00081046" w:rsidRDefault="00081046" w:rsidP="004B0C4D">
            <w:pPr>
              <w:pStyle w:val="Paragraphedeliste"/>
              <w:numPr>
                <w:ilvl w:val="0"/>
                <w:numId w:val="6"/>
              </w:numPr>
              <w:spacing w:line="253" w:lineRule="atLeast"/>
              <w:ind w:left="151" w:hanging="141"/>
              <w:jc w:val="both"/>
              <w:rPr>
                <w:rFonts w:ascii="Arial" w:hAnsi="Arial" w:cs="Arial"/>
                <w:sz w:val="20"/>
                <w:szCs w:val="20"/>
              </w:rPr>
            </w:pPr>
            <w:r w:rsidRPr="003B4B0E">
              <w:rPr>
                <w:rFonts w:ascii="Arial" w:hAnsi="Arial" w:cs="Arial"/>
                <w:sz w:val="20"/>
                <w:szCs w:val="20"/>
              </w:rPr>
              <w:t>Comité stratégique du schéma des services aux familles, recensement des budgets prévisionnels médiation et partage des enjeux</w:t>
            </w:r>
            <w:r w:rsidR="00E1263B">
              <w:rPr>
                <w:rFonts w:ascii="Arial" w:hAnsi="Arial" w:cs="Arial"/>
                <w:sz w:val="20"/>
                <w:szCs w:val="20"/>
              </w:rPr>
              <w:t> :</w:t>
            </w:r>
            <w:r w:rsidR="00C959AA" w:rsidRPr="003B4B0E">
              <w:rPr>
                <w:rFonts w:ascii="Arial" w:hAnsi="Arial" w:cs="Arial"/>
                <w:sz w:val="20"/>
                <w:szCs w:val="20"/>
              </w:rPr>
              <w:t xml:space="preserve"> 6 février 2020</w:t>
            </w:r>
          </w:p>
          <w:p w:rsidR="00E1263B" w:rsidRPr="00E1263B" w:rsidRDefault="00E1263B" w:rsidP="004B0C4D">
            <w:pPr>
              <w:pStyle w:val="Paragraphedeliste"/>
              <w:ind w:left="151" w:hanging="141"/>
              <w:jc w:val="both"/>
              <w:rPr>
                <w:rFonts w:ascii="Arial" w:hAnsi="Arial" w:cs="Arial"/>
                <w:sz w:val="20"/>
                <w:szCs w:val="20"/>
              </w:rPr>
            </w:pPr>
          </w:p>
          <w:p w:rsidR="00081046" w:rsidRDefault="00081046" w:rsidP="004B0C4D">
            <w:pPr>
              <w:pStyle w:val="Paragraphedeliste"/>
              <w:numPr>
                <w:ilvl w:val="0"/>
                <w:numId w:val="6"/>
              </w:numPr>
              <w:spacing w:line="253" w:lineRule="atLeast"/>
              <w:ind w:left="151" w:hanging="141"/>
              <w:jc w:val="both"/>
              <w:rPr>
                <w:rFonts w:ascii="Arial" w:hAnsi="Arial" w:cs="Arial"/>
                <w:sz w:val="20"/>
                <w:szCs w:val="20"/>
              </w:rPr>
            </w:pPr>
            <w:r w:rsidRPr="003B4B0E">
              <w:rPr>
                <w:rFonts w:ascii="Arial" w:hAnsi="Arial" w:cs="Arial"/>
                <w:sz w:val="20"/>
                <w:szCs w:val="20"/>
              </w:rPr>
              <w:t xml:space="preserve">Proposition et réflexion sur les modalités d’un comité stratégique local des acteurs institutionnels signataires du SDSF visant une planification et  coordination des actions </w:t>
            </w:r>
            <w:r w:rsidR="000133B0" w:rsidRPr="003B4B0E">
              <w:rPr>
                <w:rFonts w:ascii="Arial" w:hAnsi="Arial" w:cs="Arial"/>
                <w:sz w:val="20"/>
                <w:szCs w:val="20"/>
              </w:rPr>
              <w:t xml:space="preserve">parentalité </w:t>
            </w:r>
            <w:r w:rsidRPr="003B4B0E">
              <w:rPr>
                <w:rFonts w:ascii="Arial" w:hAnsi="Arial" w:cs="Arial"/>
                <w:sz w:val="20"/>
                <w:szCs w:val="20"/>
              </w:rPr>
              <w:t>partagées</w:t>
            </w:r>
          </w:p>
          <w:p w:rsidR="00E1263B" w:rsidRPr="00E1263B" w:rsidRDefault="00E1263B" w:rsidP="004B0C4D">
            <w:pPr>
              <w:pStyle w:val="Paragraphedeliste"/>
              <w:ind w:left="151" w:hanging="141"/>
              <w:jc w:val="both"/>
              <w:rPr>
                <w:rFonts w:ascii="Arial" w:hAnsi="Arial" w:cs="Arial"/>
                <w:sz w:val="20"/>
                <w:szCs w:val="20"/>
              </w:rPr>
            </w:pPr>
          </w:p>
          <w:p w:rsidR="00C84165" w:rsidRDefault="00081046" w:rsidP="004B0C4D">
            <w:pPr>
              <w:pStyle w:val="Paragraphedeliste"/>
              <w:numPr>
                <w:ilvl w:val="0"/>
                <w:numId w:val="6"/>
              </w:numPr>
              <w:spacing w:line="253" w:lineRule="atLeast"/>
              <w:ind w:left="151" w:hanging="141"/>
              <w:jc w:val="both"/>
              <w:rPr>
                <w:rFonts w:ascii="Arial" w:hAnsi="Arial" w:cs="Arial"/>
                <w:sz w:val="20"/>
                <w:szCs w:val="20"/>
              </w:rPr>
            </w:pPr>
            <w:r w:rsidRPr="003B4B0E">
              <w:rPr>
                <w:rFonts w:ascii="Arial" w:hAnsi="Arial" w:cs="Arial"/>
                <w:sz w:val="20"/>
                <w:szCs w:val="20"/>
              </w:rPr>
              <w:t xml:space="preserve">Copil Médiation : recueil auprès des associations des </w:t>
            </w:r>
            <w:r w:rsidR="00E1263B">
              <w:rPr>
                <w:rFonts w:ascii="Arial" w:hAnsi="Arial" w:cs="Arial"/>
                <w:sz w:val="20"/>
                <w:szCs w:val="20"/>
              </w:rPr>
              <w:t>d</w:t>
            </w:r>
            <w:r w:rsidRPr="003B4B0E">
              <w:rPr>
                <w:rFonts w:ascii="Arial" w:hAnsi="Arial" w:cs="Arial"/>
                <w:sz w:val="20"/>
                <w:szCs w:val="20"/>
              </w:rPr>
              <w:t xml:space="preserve">éveloppements </w:t>
            </w:r>
            <w:r w:rsidR="00C959AA" w:rsidRPr="003B4B0E">
              <w:rPr>
                <w:rFonts w:ascii="Arial" w:hAnsi="Arial" w:cs="Arial"/>
                <w:sz w:val="20"/>
                <w:szCs w:val="20"/>
              </w:rPr>
              <w:t>possible</w:t>
            </w:r>
            <w:r w:rsidR="00E1263B">
              <w:rPr>
                <w:rFonts w:ascii="Arial" w:hAnsi="Arial" w:cs="Arial"/>
                <w:sz w:val="20"/>
                <w:szCs w:val="20"/>
              </w:rPr>
              <w:t xml:space="preserve">s : </w:t>
            </w:r>
            <w:r w:rsidR="00C959AA" w:rsidRPr="003B4B0E">
              <w:rPr>
                <w:rFonts w:ascii="Arial" w:hAnsi="Arial" w:cs="Arial"/>
                <w:sz w:val="20"/>
                <w:szCs w:val="20"/>
              </w:rPr>
              <w:t>19 mars 2020</w:t>
            </w:r>
            <w:r w:rsidRPr="003B4B0E">
              <w:rPr>
                <w:rFonts w:ascii="Arial" w:hAnsi="Arial" w:cs="Arial"/>
                <w:sz w:val="20"/>
                <w:szCs w:val="20"/>
              </w:rPr>
              <w:t xml:space="preserve">  </w:t>
            </w:r>
          </w:p>
          <w:p w:rsidR="00E1263B" w:rsidRPr="00E1263B" w:rsidRDefault="00E1263B" w:rsidP="004B0C4D">
            <w:pPr>
              <w:pStyle w:val="Paragraphedeliste"/>
              <w:ind w:left="151" w:hanging="141"/>
              <w:jc w:val="both"/>
              <w:rPr>
                <w:rFonts w:ascii="Arial" w:hAnsi="Arial" w:cs="Arial"/>
                <w:sz w:val="20"/>
                <w:szCs w:val="20"/>
              </w:rPr>
            </w:pPr>
          </w:p>
          <w:p w:rsidR="00C84165" w:rsidRPr="003B4B0E" w:rsidRDefault="000133B0" w:rsidP="004B0C4D">
            <w:pPr>
              <w:pStyle w:val="Paragraphedeliste"/>
              <w:numPr>
                <w:ilvl w:val="0"/>
                <w:numId w:val="6"/>
              </w:numPr>
              <w:spacing w:line="253" w:lineRule="atLeast"/>
              <w:ind w:left="151" w:hanging="141"/>
              <w:jc w:val="both"/>
              <w:rPr>
                <w:rFonts w:ascii="Arial" w:hAnsi="Arial" w:cs="Arial"/>
                <w:sz w:val="20"/>
                <w:szCs w:val="20"/>
              </w:rPr>
            </w:pPr>
            <w:r w:rsidRPr="003B4B0E">
              <w:rPr>
                <w:rFonts w:ascii="Arial" w:hAnsi="Arial" w:cs="Arial"/>
                <w:sz w:val="20"/>
                <w:szCs w:val="20"/>
              </w:rPr>
              <w:t>Proposition de projet au sein du Réseau des parents (en préparation avec RETASE UTAMS Ouest) –</w:t>
            </w:r>
            <w:r w:rsidR="00E1263B">
              <w:rPr>
                <w:rFonts w:ascii="Arial" w:hAnsi="Arial" w:cs="Arial"/>
                <w:sz w:val="20"/>
                <w:szCs w:val="20"/>
              </w:rPr>
              <w:t xml:space="preserve"> </w:t>
            </w:r>
            <w:r w:rsidRPr="003B4B0E">
              <w:rPr>
                <w:rFonts w:ascii="Arial" w:hAnsi="Arial" w:cs="Arial"/>
                <w:sz w:val="20"/>
                <w:szCs w:val="20"/>
              </w:rPr>
              <w:t>date non fournie sur site du Réseau</w:t>
            </w:r>
          </w:p>
          <w:p w:rsidR="00E1263B" w:rsidRDefault="00E1263B" w:rsidP="004B0C4D">
            <w:pPr>
              <w:spacing w:line="253" w:lineRule="atLeast"/>
              <w:jc w:val="both"/>
              <w:rPr>
                <w:rFonts w:ascii="Arial" w:hAnsi="Arial" w:cs="Arial"/>
                <w:sz w:val="20"/>
                <w:szCs w:val="20"/>
              </w:rPr>
            </w:pPr>
          </w:p>
          <w:p w:rsidR="000133B0" w:rsidRDefault="000133B0" w:rsidP="004B0C4D">
            <w:pPr>
              <w:spacing w:line="253" w:lineRule="atLeast"/>
              <w:jc w:val="both"/>
              <w:rPr>
                <w:rFonts w:ascii="Arial" w:hAnsi="Arial" w:cs="Arial"/>
                <w:sz w:val="20"/>
                <w:szCs w:val="20"/>
              </w:rPr>
            </w:pPr>
            <w:r>
              <w:rPr>
                <w:rFonts w:ascii="Arial" w:hAnsi="Arial" w:cs="Arial"/>
                <w:sz w:val="20"/>
                <w:szCs w:val="20"/>
              </w:rPr>
              <w:t>Bilan d’étape</w:t>
            </w:r>
            <w:r w:rsidR="00E1263B">
              <w:rPr>
                <w:rFonts w:ascii="Arial" w:hAnsi="Arial" w:cs="Arial"/>
                <w:sz w:val="20"/>
                <w:szCs w:val="20"/>
              </w:rPr>
              <w:t> :</w:t>
            </w:r>
            <w:r>
              <w:rPr>
                <w:rFonts w:ascii="Arial" w:hAnsi="Arial" w:cs="Arial"/>
                <w:sz w:val="20"/>
                <w:szCs w:val="20"/>
              </w:rPr>
              <w:t xml:space="preserve"> mai 2020 pour ajustement</w:t>
            </w:r>
            <w:r w:rsidR="00394826">
              <w:rPr>
                <w:rFonts w:ascii="Arial" w:hAnsi="Arial" w:cs="Arial"/>
                <w:sz w:val="20"/>
                <w:szCs w:val="20"/>
              </w:rPr>
              <w:t>.</w:t>
            </w:r>
          </w:p>
          <w:p w:rsidR="00394826" w:rsidRPr="00354DE9" w:rsidRDefault="00394826" w:rsidP="00D9224D">
            <w:pPr>
              <w:spacing w:line="253" w:lineRule="atLeast"/>
              <w:rPr>
                <w:rFonts w:ascii="Arial" w:hAnsi="Arial" w:cs="Arial"/>
                <w:sz w:val="20"/>
                <w:szCs w:val="20"/>
              </w:rPr>
            </w:pPr>
          </w:p>
        </w:tc>
      </w:tr>
      <w:tr w:rsidR="005C4530" w:rsidRPr="00354DE9" w:rsidTr="00E1263B">
        <w:trPr>
          <w:trHeight w:val="285"/>
          <w:jc w:val="center"/>
        </w:trPr>
        <w:tc>
          <w:tcPr>
            <w:tcW w:w="2547" w:type="dxa"/>
            <w:shd w:val="clear" w:color="auto" w:fill="auto"/>
            <w:vAlign w:val="center"/>
          </w:tcPr>
          <w:p w:rsidR="005C4530" w:rsidRPr="00354DE9" w:rsidRDefault="005C4530" w:rsidP="00562D16">
            <w:pPr>
              <w:rPr>
                <w:rFonts w:ascii="Arial" w:hAnsi="Arial" w:cs="Arial"/>
                <w:b/>
                <w:sz w:val="20"/>
                <w:szCs w:val="20"/>
              </w:rPr>
            </w:pPr>
            <w:r>
              <w:rPr>
                <w:rFonts w:ascii="Arial" w:hAnsi="Arial" w:cs="Arial"/>
                <w:b/>
                <w:sz w:val="20"/>
                <w:szCs w:val="20"/>
              </w:rPr>
              <w:t>Durée de l’action</w:t>
            </w:r>
          </w:p>
        </w:tc>
        <w:tc>
          <w:tcPr>
            <w:tcW w:w="7033" w:type="dxa"/>
            <w:gridSpan w:val="4"/>
            <w:tcBorders>
              <w:bottom w:val="single" w:sz="4" w:space="0" w:color="auto"/>
            </w:tcBorders>
            <w:shd w:val="clear" w:color="auto" w:fill="auto"/>
            <w:vAlign w:val="center"/>
          </w:tcPr>
          <w:p w:rsidR="005C4530" w:rsidRDefault="005C4530" w:rsidP="003B4B0E">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w:t>
            </w:r>
            <w:r w:rsidR="00454C16">
              <w:rPr>
                <w:rFonts w:ascii="Arial" w:hAnsi="Arial" w:cs="Arial"/>
                <w:sz w:val="20"/>
                <w:szCs w:val="20"/>
              </w:rPr>
              <w:t> </w:t>
            </w:r>
            <w:r w:rsidR="00454C16" w:rsidRPr="00635DD5">
              <w:rPr>
                <w:rFonts w:ascii="Arial" w:hAnsi="Arial" w:cs="Arial"/>
                <w:sz w:val="20"/>
                <w:szCs w:val="20"/>
              </w:rPr>
              <w:t>:</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3B4B0E">
              <w:rPr>
                <w:rFonts w:ascii="Arial" w:hAnsi="Arial" w:cs="Arial"/>
                <w:sz w:val="20"/>
                <w:szCs w:val="20"/>
              </w:rPr>
              <w:fldChar w:fldCharType="begin">
                <w:ffData>
                  <w:name w:val=""/>
                  <w:enabled/>
                  <w:calcOnExit w:val="0"/>
                  <w:checkBox>
                    <w:sizeAuto/>
                    <w:default w:val="1"/>
                  </w:checkBox>
                </w:ffData>
              </w:fldChar>
            </w:r>
            <w:r w:rsidR="003B4B0E">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003B4B0E">
              <w:rPr>
                <w:rFonts w:ascii="Arial" w:hAnsi="Arial" w:cs="Arial"/>
                <w:sz w:val="20"/>
                <w:szCs w:val="20"/>
              </w:rPr>
              <w:fldChar w:fldCharType="end"/>
            </w:r>
            <w:r w:rsidRPr="00635DD5">
              <w:rPr>
                <w:rFonts w:ascii="Arial" w:hAnsi="Arial" w:cs="Arial"/>
                <w:sz w:val="20"/>
                <w:szCs w:val="20"/>
              </w:rPr>
              <w:t xml:space="preserve">  Pluriannuelle</w:t>
            </w:r>
            <w:r>
              <w:rPr>
                <w:rFonts w:ascii="Arial" w:hAnsi="Arial" w:cs="Arial"/>
                <w:sz w:val="20"/>
                <w:szCs w:val="20"/>
              </w:rPr>
              <w:t> :</w:t>
            </w:r>
            <w:r w:rsidR="00454C16">
              <w:rPr>
                <w:rFonts w:ascii="Arial" w:hAnsi="Arial" w:cs="Arial"/>
                <w:sz w:val="20"/>
                <w:szCs w:val="20"/>
              </w:rPr>
              <w:t xml:space="preserve">               </w:t>
            </w:r>
            <w:r>
              <w:rPr>
                <w:rFonts w:ascii="Arial" w:hAnsi="Arial" w:cs="Arial"/>
                <w:sz w:val="20"/>
                <w:szCs w:val="20"/>
              </w:rPr>
              <w:t xml:space="preserve"> </w:t>
            </w:r>
            <w:r w:rsidR="00454C16">
              <w:rPr>
                <w:rFonts w:ascii="Arial" w:hAnsi="Arial" w:cs="Arial"/>
                <w:sz w:val="20"/>
                <w:szCs w:val="20"/>
              </w:rPr>
              <w:fldChar w:fldCharType="begin">
                <w:ffData>
                  <w:name w:val="CaseACocher62"/>
                  <w:enabled/>
                  <w:calcOnExit w:val="0"/>
                  <w:checkBox>
                    <w:sizeAuto/>
                    <w:default w:val="0"/>
                  </w:checkBox>
                </w:ffData>
              </w:fldChar>
            </w:r>
            <w:r w:rsidR="00454C16">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00454C16">
              <w:rPr>
                <w:rFonts w:ascii="Arial" w:hAnsi="Arial" w:cs="Arial"/>
                <w:sz w:val="20"/>
                <w:szCs w:val="20"/>
              </w:rPr>
              <w:fldChar w:fldCharType="end"/>
            </w:r>
            <w:r w:rsidR="00454C16">
              <w:rPr>
                <w:rFonts w:ascii="Arial" w:hAnsi="Arial" w:cs="Arial"/>
                <w:sz w:val="20"/>
                <w:szCs w:val="20"/>
              </w:rPr>
              <w:t>Ponctuelle :</w:t>
            </w:r>
            <w:r>
              <w:rPr>
                <w:rFonts w:ascii="Arial" w:hAnsi="Arial" w:cs="Arial"/>
                <w:sz w:val="20"/>
                <w:szCs w:val="20"/>
              </w:rPr>
              <w:br/>
            </w:r>
            <w:r>
              <w:rPr>
                <w:rFonts w:ascii="Arial" w:hAnsi="Arial" w:cs="Arial"/>
                <w:sz w:val="20"/>
                <w:szCs w:val="20"/>
              </w:rPr>
              <w:br/>
              <w:t xml:space="preserve">Début :     </w:t>
            </w:r>
            <w:r w:rsidR="003B4B0E">
              <w:rPr>
                <w:rFonts w:ascii="Arial" w:hAnsi="Arial" w:cs="Arial"/>
                <w:sz w:val="20"/>
                <w:szCs w:val="20"/>
              </w:rPr>
              <w:t>01/01/2020</w:t>
            </w:r>
            <w:r>
              <w:rPr>
                <w:rFonts w:ascii="Arial" w:hAnsi="Arial" w:cs="Arial"/>
                <w:sz w:val="20"/>
                <w:szCs w:val="20"/>
              </w:rPr>
              <w:t xml:space="preserve">                                        Fin : </w:t>
            </w:r>
            <w:r w:rsidR="003B4B0E">
              <w:rPr>
                <w:rFonts w:ascii="Arial" w:hAnsi="Arial" w:cs="Arial"/>
                <w:sz w:val="20"/>
                <w:szCs w:val="20"/>
              </w:rPr>
              <w:t>01/12/2024</w:t>
            </w:r>
          </w:p>
          <w:p w:rsidR="00394826" w:rsidRPr="00354DE9" w:rsidRDefault="00394826" w:rsidP="003B4B0E">
            <w:pPr>
              <w:rPr>
                <w:rFonts w:ascii="Arial" w:hAnsi="Arial" w:cs="Arial"/>
                <w:sz w:val="20"/>
                <w:szCs w:val="20"/>
              </w:rPr>
            </w:pPr>
          </w:p>
        </w:tc>
      </w:tr>
      <w:tr w:rsidR="00354DE9" w:rsidRPr="00354DE9" w:rsidTr="00E1263B">
        <w:trPr>
          <w:trHeight w:val="285"/>
          <w:jc w:val="center"/>
        </w:trPr>
        <w:tc>
          <w:tcPr>
            <w:tcW w:w="2547" w:type="dxa"/>
            <w:shd w:val="clear" w:color="auto" w:fill="auto"/>
            <w:vAlign w:val="center"/>
          </w:tcPr>
          <w:p w:rsidR="008E2932" w:rsidRPr="00354DE9" w:rsidRDefault="008E2932" w:rsidP="00562D16">
            <w:pPr>
              <w:rPr>
                <w:rFonts w:ascii="Arial" w:hAnsi="Arial" w:cs="Arial"/>
                <w:b/>
                <w:sz w:val="20"/>
                <w:szCs w:val="20"/>
              </w:rPr>
            </w:pPr>
            <w:r w:rsidRPr="00354DE9">
              <w:rPr>
                <w:rFonts w:ascii="Arial" w:hAnsi="Arial" w:cs="Arial"/>
                <w:b/>
                <w:sz w:val="20"/>
                <w:szCs w:val="20"/>
              </w:rPr>
              <w:t xml:space="preserve">Partenaires </w:t>
            </w:r>
            <w:r w:rsidR="00562D16">
              <w:rPr>
                <w:rFonts w:ascii="Arial" w:hAnsi="Arial" w:cs="Arial"/>
                <w:b/>
                <w:sz w:val="20"/>
                <w:szCs w:val="20"/>
              </w:rPr>
              <w:t>de l’action</w:t>
            </w:r>
          </w:p>
        </w:tc>
        <w:tc>
          <w:tcPr>
            <w:tcW w:w="7033" w:type="dxa"/>
            <w:gridSpan w:val="4"/>
            <w:tcBorders>
              <w:bottom w:val="single" w:sz="4" w:space="0" w:color="auto"/>
            </w:tcBorders>
            <w:shd w:val="clear" w:color="auto" w:fill="auto"/>
            <w:vAlign w:val="center"/>
          </w:tcPr>
          <w:p w:rsidR="007F5BDF" w:rsidRPr="00354DE9" w:rsidRDefault="00C84165" w:rsidP="00C84165">
            <w:pPr>
              <w:rPr>
                <w:rFonts w:ascii="Arial" w:hAnsi="Arial" w:cs="Arial"/>
                <w:sz w:val="20"/>
                <w:szCs w:val="20"/>
              </w:rPr>
            </w:pPr>
            <w:r>
              <w:rPr>
                <w:rFonts w:ascii="Arial" w:hAnsi="Arial" w:cs="Arial"/>
                <w:sz w:val="20"/>
                <w:szCs w:val="20"/>
              </w:rPr>
              <w:t xml:space="preserve">Communauté de communes et communes, CAF, Etat, </w:t>
            </w:r>
          </w:p>
        </w:tc>
      </w:tr>
      <w:tr w:rsidR="0046751A" w:rsidRPr="00354DE9" w:rsidTr="00E1263B">
        <w:trPr>
          <w:jc w:val="center"/>
        </w:trPr>
        <w:tc>
          <w:tcPr>
            <w:tcW w:w="2547" w:type="dxa"/>
            <w:shd w:val="clear" w:color="auto" w:fill="auto"/>
            <w:vAlign w:val="center"/>
          </w:tcPr>
          <w:p w:rsidR="0046751A" w:rsidRPr="00354DE9" w:rsidRDefault="0046751A" w:rsidP="00BA59FE">
            <w:pPr>
              <w:rPr>
                <w:rFonts w:ascii="Arial" w:hAnsi="Arial" w:cs="Arial"/>
                <w:b/>
                <w:sz w:val="20"/>
                <w:szCs w:val="20"/>
              </w:rPr>
            </w:pPr>
            <w:r w:rsidRPr="00354DE9">
              <w:rPr>
                <w:rFonts w:ascii="Arial" w:hAnsi="Arial" w:cs="Arial"/>
                <w:b/>
                <w:sz w:val="20"/>
                <w:szCs w:val="20"/>
              </w:rPr>
              <w:t>Public visé</w:t>
            </w:r>
          </w:p>
        </w:tc>
        <w:tc>
          <w:tcPr>
            <w:tcW w:w="3803" w:type="dxa"/>
            <w:gridSpan w:val="3"/>
            <w:shd w:val="clear" w:color="auto" w:fill="auto"/>
            <w:vAlign w:val="center"/>
          </w:tcPr>
          <w:p w:rsidR="00AC64C8" w:rsidRPr="00EA7DFE" w:rsidRDefault="00507524"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AC64C8" w:rsidRPr="00EA7DFE">
              <w:rPr>
                <w:rFonts w:ascii="Arial" w:eastAsia="Times New Roman" w:hAnsi="Arial" w:cs="Arial"/>
                <w:sz w:val="20"/>
                <w:szCs w:val="20"/>
                <w:lang w:eastAsia="fr-FR"/>
              </w:rPr>
              <w:t>Jeunes enfants (0 à 6 ans)</w:t>
            </w:r>
          </w:p>
          <w:p w:rsidR="0046751A" w:rsidRPr="00EA7DFE" w:rsidRDefault="00507524"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 xml:space="preserve">Enfants (7 à 11 ans) </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
                  <w:enabled/>
                  <w:calcOnExit w:val="0"/>
                  <w:checkBox>
                    <w:sizeAuto/>
                    <w:default w:val="0"/>
                  </w:checkBox>
                </w:ffData>
              </w:fldChar>
            </w:r>
            <w:r w:rsidRPr="00EA7DFE">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Adolescents (12 à 15 ans)</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
                  <w:enabled/>
                  <w:calcOnExit w:val="0"/>
                  <w:checkBox>
                    <w:sizeAuto/>
                    <w:default w:val="0"/>
                  </w:checkBox>
                </w:ffData>
              </w:fldChar>
            </w:r>
            <w:r w:rsidRPr="00EA7DFE">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Jeunes Adultes (16 à 25 ans)</w:t>
            </w:r>
            <w:r w:rsidRPr="00EA7DFE">
              <w:rPr>
                <w:rFonts w:ascii="Arial" w:eastAsia="Times New Roman" w:hAnsi="Arial" w:cs="Arial"/>
                <w:sz w:val="20"/>
                <w:szCs w:val="20"/>
                <w:lang w:eastAsia="fr-FR"/>
              </w:rPr>
              <w:tab/>
            </w:r>
          </w:p>
          <w:p w:rsidR="0046751A" w:rsidRPr="00EA7DFE" w:rsidRDefault="00FF710F"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Adultes (26 à 65 ans)</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Personnes âgées (&gt;65 ans)</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b/>
                <w:sz w:val="20"/>
                <w:szCs w:val="20"/>
                <w:lang w:eastAsia="fr-FR"/>
              </w:rPr>
              <w:t>Professionnels*</w:t>
            </w:r>
          </w:p>
          <w:p w:rsidR="0046751A" w:rsidRPr="00EA7DFE" w:rsidRDefault="00D9224D" w:rsidP="00F47D59">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Pr="00EA7DFE">
              <w:rPr>
                <w:rFonts w:ascii="Arial" w:hAnsi="Arial" w:cs="Arial"/>
                <w:sz w:val="20"/>
                <w:szCs w:val="20"/>
              </w:rPr>
              <w:fldChar w:fldCharType="end"/>
            </w:r>
            <w:r w:rsidR="00E1263B">
              <w:rPr>
                <w:rFonts w:ascii="Arial" w:hAnsi="Arial" w:cs="Arial"/>
                <w:sz w:val="20"/>
                <w:szCs w:val="20"/>
              </w:rPr>
              <w:t xml:space="preserve"> </w:t>
            </w:r>
            <w:r w:rsidR="0046751A" w:rsidRPr="00EA7DFE">
              <w:rPr>
                <w:rFonts w:ascii="Arial" w:eastAsia="Times New Roman" w:hAnsi="Arial" w:cs="Arial"/>
                <w:sz w:val="20"/>
                <w:szCs w:val="20"/>
                <w:lang w:eastAsia="fr-FR"/>
              </w:rPr>
              <w:t xml:space="preserve">Autre (Précisez) : </w:t>
            </w:r>
            <w:r w:rsidR="00EA7DFE">
              <w:rPr>
                <w:rFonts w:ascii="Arial" w:eastAsia="Times New Roman" w:hAnsi="Arial" w:cs="Arial"/>
                <w:sz w:val="20"/>
                <w:szCs w:val="20"/>
                <w:lang w:eastAsia="fr-FR"/>
              </w:rPr>
              <w:t>Adultes (&gt;18 ans)</w:t>
            </w:r>
          </w:p>
        </w:tc>
        <w:tc>
          <w:tcPr>
            <w:tcW w:w="3230" w:type="dxa"/>
            <w:shd w:val="clear" w:color="auto" w:fill="auto"/>
            <w:vAlign w:val="center"/>
          </w:tcPr>
          <w:p w:rsidR="0046751A" w:rsidRDefault="00AC64C8" w:rsidP="00BA59FE">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t>*</w:t>
            </w:r>
            <w:r w:rsidRPr="00354DE9">
              <w:rPr>
                <w:rFonts w:ascii="Arial" w:hAnsi="Arial" w:cs="Arial"/>
                <w:sz w:val="20"/>
                <w:szCs w:val="20"/>
              </w:rPr>
              <w:t xml:space="preserve"> </w:t>
            </w:r>
            <w:r w:rsidR="0046751A" w:rsidRPr="00354DE9">
              <w:rPr>
                <w:rFonts w:ascii="Arial" w:eastAsia="Times New Roman" w:hAnsi="Arial" w:cs="Arial"/>
                <w:b/>
                <w:i/>
                <w:sz w:val="20"/>
                <w:szCs w:val="20"/>
                <w:lang w:eastAsia="fr-FR"/>
              </w:rPr>
              <w:t xml:space="preserve">Préciser si professionnels </w:t>
            </w:r>
            <w:r w:rsidR="0046751A" w:rsidRPr="00354DE9">
              <w:rPr>
                <w:rFonts w:ascii="Arial" w:eastAsia="Times New Roman" w:hAnsi="Arial" w:cs="Arial"/>
                <w:sz w:val="20"/>
                <w:szCs w:val="20"/>
                <w:lang w:eastAsia="fr-FR"/>
              </w:rPr>
              <w:t>:</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Médical</w:t>
            </w:r>
          </w:p>
          <w:p w:rsidR="0046751A"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Paramédical</w:t>
            </w:r>
          </w:p>
          <w:p w:rsidR="008D747C" w:rsidRPr="00354DE9" w:rsidRDefault="00507524"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8D747C">
              <w:rPr>
                <w:rFonts w:ascii="Arial" w:hAnsi="Arial" w:cs="Arial"/>
                <w:sz w:val="20"/>
                <w:szCs w:val="20"/>
              </w:rPr>
              <w:t xml:space="preserve"> Médico-social</w:t>
            </w:r>
          </w:p>
          <w:p w:rsidR="0046751A" w:rsidRDefault="00507524"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Social</w:t>
            </w:r>
          </w:p>
          <w:p w:rsidR="0046751A" w:rsidRDefault="00507524"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 xml:space="preserve">De la prévention et de la </w:t>
            </w:r>
            <w:r w:rsidR="00E1263B">
              <w:rPr>
                <w:rFonts w:ascii="Arial" w:eastAsia="Times New Roman" w:hAnsi="Arial" w:cs="Arial"/>
                <w:sz w:val="20"/>
                <w:szCs w:val="20"/>
                <w:lang w:eastAsia="fr-FR"/>
              </w:rPr>
              <w:br/>
              <w:t xml:space="preserve">     </w:t>
            </w:r>
            <w:r w:rsidR="0046751A" w:rsidRPr="00354DE9">
              <w:rPr>
                <w:rFonts w:ascii="Arial" w:eastAsia="Times New Roman" w:hAnsi="Arial" w:cs="Arial"/>
                <w:sz w:val="20"/>
                <w:szCs w:val="20"/>
                <w:lang w:eastAsia="fr-FR"/>
              </w:rPr>
              <w:t>promotion de la santé</w:t>
            </w:r>
            <w:r w:rsidR="0046751A" w:rsidRPr="00354DE9">
              <w:rPr>
                <w:rFonts w:ascii="Arial" w:hAnsi="Arial" w:cs="Arial"/>
                <w:sz w:val="20"/>
                <w:szCs w:val="20"/>
              </w:rPr>
              <w:t xml:space="preserve"> </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l’éducation/la formation</w:t>
            </w:r>
          </w:p>
          <w:p w:rsidR="0046751A" w:rsidRPr="00354DE9" w:rsidRDefault="00507524"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la culture/Loisirs</w:t>
            </w:r>
          </w:p>
          <w:p w:rsidR="0046751A" w:rsidRPr="00354DE9" w:rsidRDefault="0046751A"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Autre (Précisez) :</w:t>
            </w:r>
            <w:r>
              <w:rPr>
                <w:rFonts w:ascii="Arial" w:eastAsia="Times New Roman" w:hAnsi="Arial" w:cs="Arial"/>
                <w:sz w:val="20"/>
                <w:szCs w:val="20"/>
                <w:lang w:eastAsia="fr-FR"/>
              </w:rPr>
              <w:t xml:space="preserve"> </w:t>
            </w:r>
          </w:p>
        </w:tc>
      </w:tr>
      <w:tr w:rsidR="00354DE9" w:rsidRPr="00354DE9" w:rsidTr="00E1263B">
        <w:trPr>
          <w:trHeight w:val="346"/>
          <w:jc w:val="center"/>
        </w:trPr>
        <w:tc>
          <w:tcPr>
            <w:tcW w:w="2547" w:type="dxa"/>
            <w:shd w:val="clear" w:color="auto" w:fill="FFFFFF" w:themeFill="background1"/>
            <w:vAlign w:val="center"/>
          </w:tcPr>
          <w:p w:rsidR="008E2932" w:rsidRPr="00354DE9" w:rsidRDefault="008E2932" w:rsidP="00354DE9">
            <w:pPr>
              <w:rPr>
                <w:rFonts w:ascii="Arial" w:hAnsi="Arial" w:cs="Arial"/>
                <w:b/>
                <w:sz w:val="20"/>
                <w:szCs w:val="20"/>
              </w:rPr>
            </w:pPr>
            <w:r w:rsidRPr="00354DE9">
              <w:rPr>
                <w:rFonts w:ascii="Arial" w:hAnsi="Arial" w:cs="Arial"/>
                <w:b/>
                <w:sz w:val="20"/>
                <w:szCs w:val="20"/>
              </w:rPr>
              <w:t xml:space="preserve">Territoire </w:t>
            </w:r>
            <w:r w:rsidR="00354DE9" w:rsidRPr="00354DE9">
              <w:rPr>
                <w:rFonts w:ascii="Arial" w:hAnsi="Arial" w:cs="Arial"/>
                <w:b/>
                <w:sz w:val="20"/>
                <w:szCs w:val="20"/>
              </w:rPr>
              <w:t>d’intervention</w:t>
            </w:r>
          </w:p>
        </w:tc>
        <w:tc>
          <w:tcPr>
            <w:tcW w:w="7033" w:type="dxa"/>
            <w:gridSpan w:val="4"/>
            <w:vAlign w:val="center"/>
          </w:tcPr>
          <w:p w:rsidR="008E2932" w:rsidRPr="00354DE9" w:rsidRDefault="005B59B5" w:rsidP="00F16670">
            <w:pPr>
              <w:rPr>
                <w:rFonts w:ascii="Arial" w:hAnsi="Arial" w:cs="Arial"/>
                <w:sz w:val="20"/>
                <w:szCs w:val="20"/>
              </w:rPr>
            </w:pPr>
            <w:r>
              <w:rPr>
                <w:rFonts w:ascii="Arial" w:hAnsi="Arial" w:cs="Arial"/>
                <w:sz w:val="20"/>
                <w:szCs w:val="20"/>
              </w:rPr>
              <w:t>Pays de Saverne Plaine et plateau</w:t>
            </w:r>
          </w:p>
        </w:tc>
      </w:tr>
      <w:tr w:rsidR="00F71D52" w:rsidRPr="00354DE9" w:rsidTr="00E1263B">
        <w:trPr>
          <w:trHeight w:val="350"/>
          <w:jc w:val="center"/>
        </w:trPr>
        <w:tc>
          <w:tcPr>
            <w:tcW w:w="2547" w:type="dxa"/>
            <w:vMerge w:val="restart"/>
            <w:shd w:val="clear" w:color="auto" w:fill="auto"/>
            <w:vAlign w:val="center"/>
          </w:tcPr>
          <w:p w:rsidR="00F71D52" w:rsidRPr="00354DE9" w:rsidRDefault="00F71D52" w:rsidP="0057104E">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rsidR="00F71D52" w:rsidRPr="002A03EA" w:rsidRDefault="00F71D52" w:rsidP="00F16670">
            <w:pPr>
              <w:rPr>
                <w:rFonts w:ascii="Arial" w:hAnsi="Arial" w:cs="Arial"/>
                <w:i/>
                <w:sz w:val="18"/>
                <w:szCs w:val="18"/>
              </w:rPr>
            </w:pPr>
            <w:r w:rsidRPr="002A03EA">
              <w:rPr>
                <w:rFonts w:ascii="Arial" w:hAnsi="Arial" w:cs="Arial"/>
                <w:i/>
                <w:sz w:val="18"/>
                <w:szCs w:val="18"/>
              </w:rPr>
              <w:t>Budget global prévisionnel</w:t>
            </w:r>
          </w:p>
        </w:tc>
        <w:tc>
          <w:tcPr>
            <w:tcW w:w="5244" w:type="dxa"/>
            <w:gridSpan w:val="2"/>
            <w:shd w:val="clear" w:color="auto" w:fill="auto"/>
            <w:vAlign w:val="center"/>
          </w:tcPr>
          <w:p w:rsidR="007452AB" w:rsidRPr="00354DE9" w:rsidRDefault="00764B41" w:rsidP="00F16670">
            <w:pPr>
              <w:rPr>
                <w:rFonts w:ascii="Arial" w:hAnsi="Arial" w:cs="Arial"/>
                <w:sz w:val="20"/>
                <w:szCs w:val="20"/>
              </w:rPr>
            </w:pPr>
            <w:r>
              <w:rPr>
                <w:rFonts w:ascii="Arial" w:hAnsi="Arial" w:cs="Arial"/>
                <w:sz w:val="20"/>
                <w:szCs w:val="20"/>
              </w:rPr>
              <w:t xml:space="preserve">A estimer </w:t>
            </w:r>
          </w:p>
        </w:tc>
      </w:tr>
      <w:tr w:rsidR="00F71D52" w:rsidRPr="00354DE9" w:rsidTr="00E1263B">
        <w:trPr>
          <w:trHeight w:val="199"/>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i/>
                <w:sz w:val="18"/>
                <w:szCs w:val="18"/>
              </w:rPr>
            </w:pPr>
            <w:r w:rsidRPr="00F71D52">
              <w:rPr>
                <w:rFonts w:ascii="Arial" w:hAnsi="Arial" w:cs="Arial"/>
                <w:i/>
                <w:sz w:val="18"/>
                <w:szCs w:val="18"/>
              </w:rPr>
              <w:t>Financeurs et montants</w:t>
            </w:r>
          </w:p>
        </w:tc>
        <w:tc>
          <w:tcPr>
            <w:tcW w:w="5244" w:type="dxa"/>
            <w:gridSpan w:val="2"/>
            <w:shd w:val="clear" w:color="auto" w:fill="auto"/>
            <w:vAlign w:val="center"/>
          </w:tcPr>
          <w:p w:rsidR="00F71D52" w:rsidRPr="00354DE9" w:rsidRDefault="00764B41" w:rsidP="00F16670">
            <w:pPr>
              <w:rPr>
                <w:rFonts w:ascii="Arial" w:hAnsi="Arial" w:cs="Arial"/>
                <w:sz w:val="20"/>
                <w:szCs w:val="20"/>
              </w:rPr>
            </w:pPr>
            <w:r>
              <w:rPr>
                <w:rFonts w:ascii="Arial" w:hAnsi="Arial" w:cs="Arial"/>
                <w:sz w:val="20"/>
                <w:szCs w:val="20"/>
              </w:rPr>
              <w:t>CD et CAF</w:t>
            </w:r>
          </w:p>
        </w:tc>
      </w:tr>
      <w:tr w:rsidR="00F71D52" w:rsidRPr="00354DE9" w:rsidTr="00E1263B">
        <w:trPr>
          <w:trHeight w:val="500"/>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244" w:type="dxa"/>
            <w:gridSpan w:val="2"/>
            <w:shd w:val="clear" w:color="auto" w:fill="auto"/>
            <w:vAlign w:val="center"/>
          </w:tcPr>
          <w:p w:rsidR="00F71D52" w:rsidRPr="00354DE9" w:rsidRDefault="00764B41" w:rsidP="00F16670">
            <w:pPr>
              <w:rPr>
                <w:rFonts w:ascii="Arial" w:hAnsi="Arial" w:cs="Arial"/>
                <w:sz w:val="20"/>
                <w:szCs w:val="20"/>
              </w:rPr>
            </w:pPr>
            <w:r>
              <w:rPr>
                <w:rFonts w:ascii="Arial" w:hAnsi="Arial" w:cs="Arial"/>
                <w:sz w:val="20"/>
                <w:szCs w:val="20"/>
              </w:rPr>
              <w:t>Lieux mis à disposition par ComCom</w:t>
            </w:r>
            <w:bookmarkStart w:id="1" w:name="_GoBack"/>
            <w:bookmarkEnd w:id="1"/>
          </w:p>
        </w:tc>
      </w:tr>
      <w:tr w:rsidR="00143098" w:rsidRPr="00354DE9" w:rsidTr="00E1263B">
        <w:trPr>
          <w:trHeight w:val="554"/>
          <w:jc w:val="center"/>
        </w:trPr>
        <w:tc>
          <w:tcPr>
            <w:tcW w:w="2547" w:type="dxa"/>
            <w:vMerge w:val="restart"/>
            <w:shd w:val="clear" w:color="auto" w:fill="FFFFFF" w:themeFill="background1"/>
            <w:vAlign w:val="center"/>
          </w:tcPr>
          <w:p w:rsidR="00143098" w:rsidRPr="00354DE9" w:rsidRDefault="00143098" w:rsidP="002E571E">
            <w:pPr>
              <w:rPr>
                <w:rFonts w:ascii="Arial" w:hAnsi="Arial" w:cs="Arial"/>
                <w:b/>
                <w:sz w:val="20"/>
                <w:szCs w:val="20"/>
              </w:rPr>
            </w:pPr>
            <w:r w:rsidRPr="00354DE9">
              <w:rPr>
                <w:rFonts w:ascii="Arial" w:hAnsi="Arial" w:cs="Arial"/>
                <w:b/>
                <w:sz w:val="20"/>
                <w:szCs w:val="20"/>
              </w:rPr>
              <w:t>Déterminants de santé visés</w:t>
            </w:r>
          </w:p>
        </w:tc>
        <w:tc>
          <w:tcPr>
            <w:tcW w:w="703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Système de soins</w:t>
            </w:r>
          </w:p>
          <w:p w:rsidR="00143098" w:rsidRPr="00354DE9" w:rsidRDefault="00507524"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Accessibilité (géographique, financière, socio-culturelle, …)</w:t>
            </w:r>
          </w:p>
          <w:p w:rsidR="00143098" w:rsidRPr="00354DE9" w:rsidRDefault="00507524"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Globalité (synergie des composantes, prise en compte des conditions </w:t>
            </w:r>
            <w:r w:rsidR="00E1263B">
              <w:rPr>
                <w:rFonts w:ascii="Arial" w:eastAsia="Times New Roman" w:hAnsi="Arial" w:cs="Arial"/>
                <w:iCs/>
                <w:sz w:val="20"/>
                <w:szCs w:val="20"/>
                <w:lang w:eastAsia="fr-FR"/>
              </w:rPr>
              <w:br/>
              <w:t xml:space="preserve">     </w:t>
            </w:r>
            <w:r w:rsidR="00143098" w:rsidRPr="00354DE9">
              <w:rPr>
                <w:rFonts w:ascii="Arial" w:eastAsia="Times New Roman" w:hAnsi="Arial" w:cs="Arial"/>
                <w:iCs/>
                <w:sz w:val="20"/>
                <w:szCs w:val="20"/>
                <w:lang w:eastAsia="fr-FR"/>
              </w:rPr>
              <w:t>sociales)</w:t>
            </w:r>
          </w:p>
          <w:p w:rsidR="00143098" w:rsidRPr="00354DE9" w:rsidRDefault="00143098" w:rsidP="00F16670">
            <w:pPr>
              <w:rPr>
                <w:rFonts w:ascii="Arial" w:eastAsia="Times New Roman" w:hAnsi="Arial" w:cs="Arial"/>
                <w:iCs/>
                <w:sz w:val="20"/>
                <w:szCs w:val="20"/>
                <w:lang w:eastAsia="fr-FR"/>
              </w:rPr>
            </w:pPr>
            <w:r>
              <w:rPr>
                <w:rFonts w:ascii="Arial" w:hAnsi="Arial" w:cs="Arial"/>
                <w:sz w:val="20"/>
                <w:szCs w:val="20"/>
              </w:rPr>
              <w:fldChar w:fldCharType="begin">
                <w:ffData>
                  <w:name w:val="CaseACocher61"/>
                  <w:enabled/>
                  <w:calcOnExit w:val="0"/>
                  <w:checkBox>
                    <w:sizeAuto/>
                    <w:default w:val="0"/>
                  </w:checkBox>
                </w:ffData>
              </w:fldChar>
            </w:r>
            <w:bookmarkStart w:id="2" w:name="CaseACocher61"/>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bookmarkEnd w:id="2"/>
            <w:r w:rsidRPr="00354DE9">
              <w:rPr>
                <w:rFonts w:ascii="Arial" w:eastAsia="Times New Roman" w:hAnsi="Arial" w:cs="Arial"/>
                <w:iCs/>
                <w:sz w:val="20"/>
                <w:szCs w:val="20"/>
                <w:lang w:eastAsia="fr-FR"/>
              </w:rPr>
              <w:t xml:space="preserve"> Continuité (informationnelle, relationnelle, clinique)</w:t>
            </w:r>
          </w:p>
          <w:p w:rsidR="00143098" w:rsidRPr="00354DE9" w:rsidRDefault="00143098" w:rsidP="00F16670">
            <w:pPr>
              <w:rPr>
                <w:rFonts w:ascii="Arial" w:eastAsia="Times New Roman" w:hAnsi="Arial" w:cs="Arial"/>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Pr="00354DE9">
              <w:rPr>
                <w:rFonts w:ascii="Arial" w:hAnsi="Arial" w:cs="Arial"/>
                <w:sz w:val="20"/>
                <w:szCs w:val="20"/>
              </w:rPr>
              <w:fldChar w:fldCharType="end"/>
            </w:r>
            <w:r w:rsidR="007F5EE5">
              <w:rPr>
                <w:rFonts w:ascii="Arial" w:eastAsia="Times New Roman" w:hAnsi="Arial" w:cs="Arial"/>
                <w:iCs/>
                <w:sz w:val="20"/>
                <w:szCs w:val="20"/>
                <w:lang w:eastAsia="fr-FR"/>
              </w:rPr>
              <w:t xml:space="preserve"> R</w:t>
            </w:r>
            <w:r w:rsidRPr="00354DE9">
              <w:rPr>
                <w:rFonts w:ascii="Arial" w:eastAsia="Times New Roman" w:hAnsi="Arial" w:cs="Arial"/>
                <w:iCs/>
                <w:sz w:val="20"/>
                <w:szCs w:val="20"/>
                <w:lang w:eastAsia="fr-FR"/>
              </w:rPr>
              <w:t>éactivité (respect des attentes des patients, satisfaction des patients)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Efficacité et sécurité</w:t>
            </w:r>
          </w:p>
        </w:tc>
      </w:tr>
      <w:tr w:rsidR="00143098" w:rsidRPr="00354DE9" w:rsidTr="00E1263B">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4"/>
            <w:vAlign w:val="center"/>
          </w:tcPr>
          <w:p w:rsidR="00143098" w:rsidRPr="00EA7DFE" w:rsidRDefault="00143098" w:rsidP="00F16670">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rsidR="00143098" w:rsidRPr="00EA7DFE" w:rsidRDefault="00D9224D" w:rsidP="00F16670">
            <w:pPr>
              <w:rPr>
                <w:rFonts w:ascii="Arial" w:hAnsi="Arial" w:cs="Arial"/>
                <w:i/>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w:t>
            </w:r>
            <w:r w:rsidR="00143098" w:rsidRPr="00EA7DFE">
              <w:rPr>
                <w:rFonts w:ascii="Arial" w:eastAsia="Times New Roman" w:hAnsi="Arial" w:cs="Arial"/>
                <w:iCs/>
                <w:sz w:val="20"/>
                <w:szCs w:val="20"/>
                <w:lang w:eastAsia="fr-FR"/>
              </w:rPr>
              <w:t xml:space="preserve">Acquisition de comportements favorables à la santé </w:t>
            </w:r>
            <w:r w:rsidR="00143098" w:rsidRPr="00EA7DFE">
              <w:rPr>
                <w:rFonts w:ascii="Arial" w:eastAsia="Times New Roman" w:hAnsi="Arial" w:cs="Arial"/>
                <w:i/>
                <w:iCs/>
                <w:sz w:val="20"/>
                <w:szCs w:val="20"/>
                <w:lang w:eastAsia="fr-FR"/>
              </w:rPr>
              <w:t xml:space="preserve">(consommation </w:t>
            </w:r>
            <w:r w:rsidR="00E1263B">
              <w:rPr>
                <w:rFonts w:ascii="Arial" w:eastAsia="Times New Roman" w:hAnsi="Arial" w:cs="Arial"/>
                <w:i/>
                <w:iCs/>
                <w:sz w:val="20"/>
                <w:szCs w:val="20"/>
                <w:lang w:eastAsia="fr-FR"/>
              </w:rPr>
              <w:br/>
              <w:t xml:space="preserve">     </w:t>
            </w:r>
            <w:r w:rsidR="00143098" w:rsidRPr="00EA7DFE">
              <w:rPr>
                <w:rFonts w:ascii="Arial" w:eastAsia="Times New Roman" w:hAnsi="Arial" w:cs="Arial"/>
                <w:i/>
                <w:iCs/>
                <w:sz w:val="20"/>
                <w:szCs w:val="20"/>
                <w:lang w:eastAsia="fr-FR"/>
              </w:rPr>
              <w:t>d’alcool, de tabac, alimentation, activité physique, …)</w:t>
            </w:r>
          </w:p>
          <w:p w:rsidR="00143098" w:rsidRPr="00EA7DFE" w:rsidRDefault="00D9224D"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w:t>
            </w:r>
            <w:r w:rsidR="00143098" w:rsidRPr="00EA7DFE">
              <w:rPr>
                <w:rFonts w:ascii="Arial" w:eastAsia="Times New Roman" w:hAnsi="Arial" w:cs="Arial"/>
                <w:iCs/>
                <w:sz w:val="20"/>
                <w:szCs w:val="20"/>
                <w:lang w:eastAsia="fr-FR"/>
              </w:rPr>
              <w:t>Utilisation des services de santé (recours aux soins et à la prévention)</w:t>
            </w:r>
          </w:p>
        </w:tc>
      </w:tr>
      <w:tr w:rsidR="00143098" w:rsidRPr="00354DE9" w:rsidTr="00E1263B">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Conditions de vie</w:t>
            </w:r>
          </w:p>
          <w:p w:rsidR="00143098" w:rsidRPr="00354DE9" w:rsidRDefault="00507524"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Accès aux ressources hors services de santé </w:t>
            </w:r>
            <w:r w:rsidR="00143098" w:rsidRPr="00354DE9">
              <w:rPr>
                <w:rFonts w:ascii="Arial" w:eastAsia="Times New Roman" w:hAnsi="Arial" w:cs="Arial"/>
                <w:i/>
                <w:iCs/>
                <w:sz w:val="20"/>
                <w:szCs w:val="20"/>
                <w:lang w:eastAsia="fr-FR"/>
              </w:rPr>
              <w:t xml:space="preserve">(logement, loisir, services </w:t>
            </w:r>
            <w:r w:rsidR="00E1263B">
              <w:rPr>
                <w:rFonts w:ascii="Arial" w:eastAsia="Times New Roman" w:hAnsi="Arial" w:cs="Arial"/>
                <w:i/>
                <w:iCs/>
                <w:sz w:val="20"/>
                <w:szCs w:val="20"/>
                <w:lang w:eastAsia="fr-FR"/>
              </w:rPr>
              <w:br/>
              <w:t xml:space="preserve">     </w:t>
            </w:r>
            <w:r w:rsidR="00143098" w:rsidRPr="00354DE9">
              <w:rPr>
                <w:rFonts w:ascii="Arial" w:eastAsia="Times New Roman" w:hAnsi="Arial" w:cs="Arial"/>
                <w:i/>
                <w:iCs/>
                <w:sz w:val="20"/>
                <w:szCs w:val="20"/>
                <w:lang w:eastAsia="fr-FR"/>
              </w:rPr>
              <w:t>sociaux et éducatifs, alimentation …)</w:t>
            </w:r>
          </w:p>
          <w:p w:rsidR="00143098" w:rsidRPr="00354DE9" w:rsidRDefault="00143098" w:rsidP="00F16670">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sidR="00683C9E">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143098" w:rsidRPr="00354DE9" w:rsidTr="00E1263B">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rsidR="00143098" w:rsidRPr="00354DE9" w:rsidRDefault="00507524"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D9224D">
              <w:rPr>
                <w:rFonts w:ascii="Arial" w:eastAsia="Times New Roman" w:hAnsi="Arial" w:cs="Arial"/>
                <w:iCs/>
                <w:sz w:val="20"/>
                <w:szCs w:val="20"/>
                <w:lang w:eastAsia="fr-FR"/>
              </w:rPr>
              <w:t xml:space="preserve"> </w:t>
            </w:r>
            <w:r w:rsidR="00143098" w:rsidRPr="00EA7DFE">
              <w:rPr>
                <w:rFonts w:ascii="Arial" w:eastAsia="Times New Roman" w:hAnsi="Arial" w:cs="Arial"/>
                <w:iCs/>
                <w:sz w:val="20"/>
                <w:szCs w:val="20"/>
                <w:lang w:eastAsia="fr-FR"/>
              </w:rPr>
              <w:t>Intégration sociale</w:t>
            </w:r>
          </w:p>
          <w:p w:rsidR="00143098" w:rsidRPr="00354DE9" w:rsidRDefault="00507524" w:rsidP="00F16670">
            <w:pPr>
              <w:rPr>
                <w:rFonts w:ascii="Arial" w:hAnsi="Arial" w:cs="Arial"/>
                <w:i/>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Empowerment </w:t>
            </w:r>
            <w:r w:rsidR="00143098" w:rsidRPr="00354DE9">
              <w:rPr>
                <w:rFonts w:ascii="Arial" w:eastAsia="Times New Roman" w:hAnsi="Arial" w:cs="Arial"/>
                <w:i/>
                <w:iCs/>
                <w:sz w:val="20"/>
                <w:szCs w:val="20"/>
                <w:lang w:eastAsia="fr-FR"/>
              </w:rPr>
              <w:t>(participation des habitants)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143098" w:rsidRPr="00354DE9" w:rsidTr="00E1263B">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Adaptation aux besoins de la population</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La santé dans les politiques </w:t>
            </w:r>
            <w:r w:rsidRPr="00354DE9">
              <w:rPr>
                <w:rFonts w:ascii="Arial" w:eastAsia="Times New Roman" w:hAnsi="Arial" w:cs="Arial"/>
                <w:i/>
                <w:iCs/>
                <w:sz w:val="20"/>
                <w:szCs w:val="20"/>
                <w:lang w:eastAsia="fr-FR"/>
              </w:rPr>
              <w:t xml:space="preserve">(prise en compte des déterminants de santé </w:t>
            </w:r>
            <w:r w:rsidR="00E1263B">
              <w:rPr>
                <w:rFonts w:ascii="Arial" w:eastAsia="Times New Roman" w:hAnsi="Arial" w:cs="Arial"/>
                <w:i/>
                <w:iCs/>
                <w:sz w:val="20"/>
                <w:szCs w:val="20"/>
                <w:lang w:eastAsia="fr-FR"/>
              </w:rPr>
              <w:br/>
              <w:t xml:space="preserve">     </w:t>
            </w:r>
            <w:r w:rsidRPr="00354DE9">
              <w:rPr>
                <w:rFonts w:ascii="Arial" w:eastAsia="Times New Roman" w:hAnsi="Arial" w:cs="Arial"/>
                <w:i/>
                <w:iCs/>
                <w:sz w:val="20"/>
                <w:szCs w:val="20"/>
                <w:lang w:eastAsia="fr-FR"/>
              </w:rPr>
              <w:t>dans les politiques)</w:t>
            </w:r>
          </w:p>
        </w:tc>
      </w:tr>
      <w:tr w:rsidR="00143098" w:rsidRPr="00354DE9" w:rsidTr="00E1263B">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143098" w:rsidRPr="00354DE9" w:rsidTr="00E1263B">
        <w:trPr>
          <w:trHeight w:val="423"/>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1361D6" w:rsidRPr="00354DE9" w:rsidTr="00E1263B">
        <w:trPr>
          <w:trHeight w:val="554"/>
          <w:jc w:val="center"/>
        </w:trPr>
        <w:tc>
          <w:tcPr>
            <w:tcW w:w="2547" w:type="dxa"/>
            <w:shd w:val="clear" w:color="auto" w:fill="FFFFFF" w:themeFill="background1"/>
            <w:vAlign w:val="center"/>
          </w:tcPr>
          <w:p w:rsidR="001361D6" w:rsidRPr="00354DE9" w:rsidRDefault="001361D6" w:rsidP="002E571E">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7033" w:type="dxa"/>
            <w:gridSpan w:val="4"/>
            <w:vAlign w:val="center"/>
          </w:tcPr>
          <w:p w:rsidR="001361D6" w:rsidRDefault="001361D6" w:rsidP="00507524">
            <w:pPr>
              <w:spacing w:line="253" w:lineRule="atLeast"/>
              <w:rPr>
                <w:rFonts w:ascii="Arial" w:eastAsia="Times New Roman" w:hAnsi="Arial" w:cs="Arial"/>
                <w:b/>
                <w:bCs/>
                <w:sz w:val="20"/>
                <w:szCs w:val="20"/>
                <w:lang w:eastAsia="fr-FR"/>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r w:rsidR="00507524">
              <w:rPr>
                <w:rFonts w:ascii="Arial" w:hAnsi="Arial" w:cs="Arial"/>
                <w:sz w:val="20"/>
                <w:szCs w:val="20"/>
              </w:rPr>
              <w:fldChar w:fldCharType="begin">
                <w:ffData>
                  <w:name w:val=""/>
                  <w:enabled/>
                  <w:calcOnExit w:val="0"/>
                  <w:checkBox>
                    <w:sizeAuto/>
                    <w:default w:val="1"/>
                  </w:checkBox>
                </w:ffData>
              </w:fldChar>
            </w:r>
            <w:r w:rsidR="00507524">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00507524">
              <w:rPr>
                <w:rFonts w:ascii="Arial" w:hAnsi="Arial" w:cs="Arial"/>
                <w:sz w:val="20"/>
                <w:szCs w:val="20"/>
              </w:rPr>
              <w:fldChar w:fldCharType="end"/>
            </w:r>
            <w:r w:rsidRPr="00EA7DFE">
              <w:rPr>
                <w:rFonts w:ascii="Arial" w:hAnsi="Arial" w:cs="Arial"/>
                <w:sz w:val="20"/>
                <w:szCs w:val="20"/>
              </w:rPr>
              <w:t xml:space="preserve"> Non</w:t>
            </w:r>
            <w:r>
              <w:rPr>
                <w:rFonts w:ascii="Arial" w:hAnsi="Arial" w:cs="Arial"/>
                <w:sz w:val="20"/>
                <w:szCs w:val="20"/>
              </w:rPr>
              <w:t xml:space="preserve"> </w:t>
            </w:r>
          </w:p>
        </w:tc>
      </w:tr>
      <w:tr w:rsidR="00F71D52" w:rsidRPr="00354DE9" w:rsidTr="00E1263B">
        <w:trPr>
          <w:trHeight w:val="554"/>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Politiques Publiques concernées</w:t>
            </w:r>
          </w:p>
        </w:tc>
        <w:tc>
          <w:tcPr>
            <w:tcW w:w="7033" w:type="dxa"/>
            <w:gridSpan w:val="4"/>
            <w:vAlign w:val="center"/>
          </w:tcPr>
          <w:p w:rsidR="00DB1DCC" w:rsidRPr="00354DE9" w:rsidRDefault="00377645" w:rsidP="00377645">
            <w:pPr>
              <w:spacing w:line="253" w:lineRule="atLeast"/>
              <w:rPr>
                <w:rFonts w:ascii="Arial" w:eastAsia="Times New Roman" w:hAnsi="Arial" w:cs="Arial"/>
                <w:bCs/>
                <w:i/>
                <w:sz w:val="20"/>
                <w:szCs w:val="20"/>
                <w:lang w:eastAsia="fr-FR"/>
              </w:rPr>
            </w:pPr>
            <w:r>
              <w:rPr>
                <w:rFonts w:ascii="Arial" w:eastAsia="Times New Roman" w:hAnsi="Arial" w:cs="Arial"/>
                <w:bCs/>
                <w:i/>
                <w:sz w:val="20"/>
                <w:szCs w:val="20"/>
                <w:lang w:eastAsia="fr-FR"/>
              </w:rPr>
              <w:t>Enfance jeunesse famille, prévention et bien-être de la famille (enfants et parents)</w:t>
            </w:r>
          </w:p>
        </w:tc>
      </w:tr>
      <w:tr w:rsidR="00562D16" w:rsidRPr="00354DE9" w:rsidTr="00E1263B">
        <w:trPr>
          <w:trHeight w:val="554"/>
          <w:jc w:val="center"/>
        </w:trPr>
        <w:tc>
          <w:tcPr>
            <w:tcW w:w="2547" w:type="dxa"/>
            <w:shd w:val="clear" w:color="auto" w:fill="FFFFFF" w:themeFill="background1"/>
            <w:vAlign w:val="center"/>
          </w:tcPr>
          <w:p w:rsidR="00562D16" w:rsidRPr="00354DE9" w:rsidRDefault="00562D16" w:rsidP="00155A3B">
            <w:pPr>
              <w:rPr>
                <w:rFonts w:ascii="Arial" w:hAnsi="Arial" w:cs="Arial"/>
                <w:b/>
                <w:sz w:val="20"/>
                <w:szCs w:val="20"/>
              </w:rPr>
            </w:pPr>
            <w:r>
              <w:rPr>
                <w:rFonts w:ascii="Arial" w:hAnsi="Arial" w:cs="Arial"/>
                <w:b/>
                <w:sz w:val="20"/>
                <w:szCs w:val="20"/>
              </w:rPr>
              <w:t xml:space="preserve">Y-a-t-il une démarche participative associant les citoyens ? </w:t>
            </w:r>
          </w:p>
        </w:tc>
        <w:tc>
          <w:tcPr>
            <w:tcW w:w="7033" w:type="dxa"/>
            <w:gridSpan w:val="4"/>
            <w:vAlign w:val="center"/>
          </w:tcPr>
          <w:p w:rsidR="00562D16" w:rsidRPr="00354DE9" w:rsidRDefault="005C5EDE" w:rsidP="00D9224D">
            <w:pPr>
              <w:spacing w:line="253" w:lineRule="atLeast"/>
              <w:rPr>
                <w:rFonts w:ascii="Arial" w:eastAsia="Times New Roman" w:hAnsi="Arial" w:cs="Arial"/>
                <w:bCs/>
                <w:i/>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Oui  </w:t>
            </w:r>
            <w:r w:rsidR="00D9224D" w:rsidRPr="00354DE9">
              <w:rPr>
                <w:rFonts w:ascii="Arial" w:hAnsi="Arial" w:cs="Arial"/>
                <w:sz w:val="20"/>
                <w:szCs w:val="20"/>
              </w:rPr>
              <w:fldChar w:fldCharType="begin">
                <w:ffData>
                  <w:name w:val="CaseACocher61"/>
                  <w:enabled/>
                  <w:calcOnExit w:val="0"/>
                  <w:checkBox>
                    <w:sizeAuto/>
                    <w:default w:val="0"/>
                  </w:checkBox>
                </w:ffData>
              </w:fldChar>
            </w:r>
            <w:r w:rsidR="00D9224D" w:rsidRPr="00354DE9">
              <w:rPr>
                <w:rFonts w:ascii="Arial" w:hAnsi="Arial" w:cs="Arial"/>
                <w:sz w:val="20"/>
                <w:szCs w:val="20"/>
              </w:rPr>
              <w:instrText xml:space="preserve"> FORMCHECKBOX </w:instrText>
            </w:r>
            <w:r w:rsidR="00764B41">
              <w:rPr>
                <w:rFonts w:ascii="Arial" w:hAnsi="Arial" w:cs="Arial"/>
                <w:sz w:val="20"/>
                <w:szCs w:val="20"/>
              </w:rPr>
            </w:r>
            <w:r w:rsidR="00764B41">
              <w:rPr>
                <w:rFonts w:ascii="Arial" w:hAnsi="Arial" w:cs="Arial"/>
                <w:sz w:val="20"/>
                <w:szCs w:val="20"/>
              </w:rPr>
              <w:fldChar w:fldCharType="separate"/>
            </w:r>
            <w:r w:rsidR="00D9224D" w:rsidRPr="00354DE9">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(Précisez)</w:t>
            </w:r>
          </w:p>
        </w:tc>
      </w:tr>
      <w:tr w:rsidR="00F71D52" w:rsidRPr="00354DE9" w:rsidTr="00394826">
        <w:trPr>
          <w:trHeight w:val="5315"/>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 xml:space="preserve">Principaux indicateurs d’évaluation retenus </w:t>
            </w:r>
          </w:p>
        </w:tc>
        <w:tc>
          <w:tcPr>
            <w:tcW w:w="7033" w:type="dxa"/>
            <w:gridSpan w:val="4"/>
            <w:vAlign w:val="center"/>
          </w:tcPr>
          <w:p w:rsidR="00D9224D" w:rsidRDefault="00236FB1" w:rsidP="00E1263B">
            <w:pPr>
              <w:spacing w:line="220" w:lineRule="exact"/>
              <w:rPr>
                <w:rFonts w:ascii="Arial" w:hAnsi="Arial" w:cs="Arial"/>
                <w:b/>
                <w:i/>
                <w:sz w:val="20"/>
                <w:szCs w:val="20"/>
                <w:u w:val="single"/>
              </w:rPr>
            </w:pPr>
            <w:r>
              <w:rPr>
                <w:rFonts w:ascii="Arial" w:hAnsi="Arial" w:cs="Arial"/>
                <w:b/>
                <w:i/>
                <w:sz w:val="20"/>
                <w:szCs w:val="20"/>
                <w:u w:val="single"/>
              </w:rPr>
              <w:t>Evaluation propre de l’action </w:t>
            </w:r>
          </w:p>
          <w:p w:rsidR="00D9224D" w:rsidRPr="00E1263B" w:rsidRDefault="00D9224D" w:rsidP="00E1263B">
            <w:pPr>
              <w:spacing w:line="220" w:lineRule="exact"/>
              <w:rPr>
                <w:rFonts w:ascii="Arial" w:hAnsi="Arial" w:cs="Arial"/>
                <w:b/>
                <w:i/>
                <w:sz w:val="18"/>
                <w:szCs w:val="20"/>
                <w:u w:val="single"/>
              </w:rPr>
            </w:pPr>
          </w:p>
          <w:p w:rsidR="00413208" w:rsidRDefault="00F71D52" w:rsidP="00E1263B">
            <w:pPr>
              <w:spacing w:line="220" w:lineRule="exact"/>
              <w:rPr>
                <w:rFonts w:ascii="Arial" w:hAnsi="Arial" w:cs="Arial"/>
                <w:i/>
                <w:sz w:val="20"/>
                <w:szCs w:val="20"/>
              </w:rPr>
            </w:pPr>
            <w:r w:rsidRPr="00354DE9">
              <w:rPr>
                <w:rFonts w:ascii="Arial" w:hAnsi="Arial" w:cs="Arial"/>
                <w:b/>
                <w:i/>
                <w:sz w:val="20"/>
                <w:szCs w:val="20"/>
              </w:rPr>
              <w:t>Indicateurs de processus</w:t>
            </w:r>
            <w:r w:rsidR="00FD4E5E">
              <w:rPr>
                <w:rFonts w:ascii="Arial" w:hAnsi="Arial" w:cs="Arial"/>
                <w:i/>
                <w:sz w:val="20"/>
                <w:szCs w:val="20"/>
              </w:rPr>
              <w:t> :</w:t>
            </w:r>
          </w:p>
          <w:p w:rsidR="00E1263B" w:rsidRPr="00354DE9" w:rsidRDefault="00E1263B" w:rsidP="00E1263B">
            <w:pPr>
              <w:spacing w:line="220" w:lineRule="exact"/>
              <w:rPr>
                <w:rFonts w:ascii="Arial" w:hAnsi="Arial" w:cs="Arial"/>
                <w:i/>
                <w:sz w:val="20"/>
                <w:szCs w:val="20"/>
              </w:rPr>
            </w:pPr>
          </w:p>
          <w:p w:rsidR="0058545B" w:rsidRPr="0058545B" w:rsidRDefault="00F71D52" w:rsidP="00E1263B">
            <w:pPr>
              <w:numPr>
                <w:ilvl w:val="0"/>
                <w:numId w:val="5"/>
              </w:numPr>
              <w:spacing w:line="220" w:lineRule="exact"/>
              <w:ind w:left="175" w:hanging="218"/>
              <w:jc w:val="both"/>
              <w:rPr>
                <w:rFonts w:ascii="Arial" w:eastAsia="Times New Roman" w:hAnsi="Arial" w:cs="Arial"/>
                <w:bCs/>
                <w:sz w:val="20"/>
                <w:szCs w:val="20"/>
                <w:lang w:eastAsia="fr-FR"/>
              </w:rPr>
            </w:pPr>
            <w:r w:rsidRPr="00354DE9">
              <w:rPr>
                <w:rFonts w:ascii="Arial" w:hAnsi="Arial" w:cs="Arial"/>
                <w:b/>
                <w:i/>
                <w:sz w:val="20"/>
                <w:szCs w:val="20"/>
              </w:rPr>
              <w:t>Indicateurs de résultat</w:t>
            </w:r>
            <w:r w:rsidR="00200CC5">
              <w:rPr>
                <w:rFonts w:ascii="Arial" w:hAnsi="Arial" w:cs="Arial"/>
                <w:b/>
                <w:i/>
                <w:sz w:val="20"/>
                <w:szCs w:val="20"/>
              </w:rPr>
              <w:t xml:space="preserve"> </w:t>
            </w:r>
            <w:r w:rsidR="00FD4E5E">
              <w:rPr>
                <w:rFonts w:ascii="Arial" w:hAnsi="Arial" w:cs="Arial"/>
                <w:b/>
                <w:i/>
                <w:sz w:val="20"/>
                <w:szCs w:val="20"/>
              </w:rPr>
              <w:t>:</w:t>
            </w:r>
          </w:p>
          <w:p w:rsidR="0058545B" w:rsidRPr="0058545B" w:rsidRDefault="0058545B" w:rsidP="004B0C4D">
            <w:pPr>
              <w:numPr>
                <w:ilvl w:val="0"/>
                <w:numId w:val="5"/>
              </w:numPr>
              <w:spacing w:line="220" w:lineRule="exact"/>
              <w:ind w:left="175" w:hanging="218"/>
              <w:jc w:val="both"/>
              <w:rPr>
                <w:rFonts w:ascii="Arial" w:eastAsia="Times New Roman" w:hAnsi="Arial" w:cs="Arial"/>
                <w:bCs/>
                <w:sz w:val="20"/>
                <w:szCs w:val="20"/>
                <w:lang w:eastAsia="fr-FR"/>
              </w:rPr>
            </w:pPr>
            <w:r w:rsidRPr="0058545B">
              <w:rPr>
                <w:rFonts w:ascii="Arial" w:hAnsi="Arial" w:cs="Arial"/>
                <w:sz w:val="20"/>
                <w:szCs w:val="20"/>
              </w:rPr>
              <w:t xml:space="preserve">Développement de services </w:t>
            </w:r>
            <w:r>
              <w:rPr>
                <w:rFonts w:ascii="Arial" w:hAnsi="Arial" w:cs="Arial"/>
                <w:sz w:val="20"/>
                <w:szCs w:val="20"/>
              </w:rPr>
              <w:t xml:space="preserve">parentalité </w:t>
            </w:r>
            <w:r w:rsidRPr="0058545B">
              <w:rPr>
                <w:rFonts w:ascii="Arial" w:hAnsi="Arial" w:cs="Arial"/>
                <w:sz w:val="20"/>
                <w:szCs w:val="20"/>
              </w:rPr>
              <w:t>et de sites touchés</w:t>
            </w:r>
            <w:r>
              <w:rPr>
                <w:rFonts w:ascii="Arial" w:hAnsi="Arial" w:cs="Arial"/>
                <w:sz w:val="20"/>
                <w:szCs w:val="20"/>
              </w:rPr>
              <w:t xml:space="preserve"> (LAEP, actions REAAP)</w:t>
            </w:r>
          </w:p>
          <w:p w:rsidR="0058545B" w:rsidRDefault="0058545B" w:rsidP="004B0C4D">
            <w:pPr>
              <w:numPr>
                <w:ilvl w:val="0"/>
                <w:numId w:val="5"/>
              </w:numPr>
              <w:spacing w:line="220" w:lineRule="exact"/>
              <w:ind w:left="175" w:hanging="218"/>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Nombre de familles ayant recouru à la médiation </w:t>
            </w:r>
          </w:p>
          <w:p w:rsidR="0058545B" w:rsidRDefault="0058545B" w:rsidP="004B0C4D">
            <w:pPr>
              <w:numPr>
                <w:ilvl w:val="0"/>
                <w:numId w:val="5"/>
              </w:numPr>
              <w:spacing w:line="220" w:lineRule="exact"/>
              <w:ind w:left="175" w:hanging="218"/>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Actions communes des acteurs locaux </w:t>
            </w:r>
            <w:r w:rsidR="00E35C39">
              <w:rPr>
                <w:rFonts w:ascii="Arial" w:eastAsia="Times New Roman" w:hAnsi="Arial" w:cs="Arial"/>
                <w:bCs/>
                <w:sz w:val="20"/>
                <w:szCs w:val="20"/>
                <w:lang w:eastAsia="fr-FR"/>
              </w:rPr>
              <w:t>(constitution d’un outil de recueil des données et d’un référent)</w:t>
            </w:r>
          </w:p>
          <w:p w:rsidR="006C222A" w:rsidRPr="00413208" w:rsidRDefault="006C222A" w:rsidP="004B0C4D">
            <w:pPr>
              <w:spacing w:line="220" w:lineRule="exact"/>
              <w:jc w:val="both"/>
              <w:rPr>
                <w:rFonts w:ascii="Arial" w:eastAsia="Times New Roman" w:hAnsi="Arial" w:cs="Arial"/>
                <w:b/>
                <w:bCs/>
                <w:i/>
                <w:sz w:val="20"/>
                <w:szCs w:val="20"/>
                <w:lang w:eastAsia="fr-FR"/>
              </w:rPr>
            </w:pPr>
          </w:p>
          <w:p w:rsidR="006C222A" w:rsidRPr="00413208" w:rsidRDefault="00200CC5" w:rsidP="004B0C4D">
            <w:pPr>
              <w:spacing w:line="220" w:lineRule="exact"/>
              <w:jc w:val="both"/>
              <w:rPr>
                <w:rFonts w:ascii="Arial" w:eastAsia="Times New Roman" w:hAnsi="Arial" w:cs="Arial"/>
                <w:b/>
                <w:bCs/>
                <w:i/>
                <w:sz w:val="20"/>
                <w:szCs w:val="20"/>
                <w:lang w:eastAsia="fr-FR"/>
              </w:rPr>
            </w:pPr>
            <w:r>
              <w:rPr>
                <w:rFonts w:ascii="Arial" w:eastAsia="Times New Roman" w:hAnsi="Arial" w:cs="Arial"/>
                <w:b/>
                <w:bCs/>
                <w:i/>
                <w:sz w:val="20"/>
                <w:szCs w:val="20"/>
                <w:lang w:eastAsia="fr-FR"/>
              </w:rPr>
              <w:t xml:space="preserve">Indicateur d’impact </w:t>
            </w:r>
            <w:r w:rsidR="00413208" w:rsidRPr="00413208">
              <w:rPr>
                <w:rFonts w:ascii="Arial" w:eastAsia="Times New Roman" w:hAnsi="Arial" w:cs="Arial"/>
                <w:b/>
                <w:bCs/>
                <w:i/>
                <w:sz w:val="20"/>
                <w:szCs w:val="20"/>
                <w:lang w:eastAsia="fr-FR"/>
              </w:rPr>
              <w:t>:</w:t>
            </w:r>
            <w:r w:rsidR="0058545B">
              <w:rPr>
                <w:rFonts w:ascii="Arial" w:eastAsia="Times New Roman" w:hAnsi="Arial" w:cs="Arial"/>
                <w:b/>
                <w:bCs/>
                <w:i/>
                <w:sz w:val="20"/>
                <w:szCs w:val="20"/>
                <w:lang w:eastAsia="fr-FR"/>
              </w:rPr>
              <w:t xml:space="preserve"> </w:t>
            </w:r>
            <w:r w:rsidR="0058545B" w:rsidRPr="005C5EDE">
              <w:rPr>
                <w:rFonts w:ascii="Arial" w:eastAsia="Times New Roman" w:hAnsi="Arial" w:cs="Arial"/>
                <w:bCs/>
                <w:sz w:val="20"/>
                <w:szCs w:val="20"/>
                <w:lang w:eastAsia="fr-FR"/>
              </w:rPr>
              <w:t>évolution du</w:t>
            </w:r>
            <w:r w:rsidR="0058545B">
              <w:rPr>
                <w:rFonts w:ascii="Arial" w:eastAsia="Times New Roman" w:hAnsi="Arial" w:cs="Arial"/>
                <w:b/>
                <w:bCs/>
                <w:i/>
                <w:sz w:val="20"/>
                <w:szCs w:val="20"/>
                <w:lang w:eastAsia="fr-FR"/>
              </w:rPr>
              <w:t xml:space="preserve"> </w:t>
            </w:r>
            <w:r w:rsidR="0058545B" w:rsidRPr="0058545B">
              <w:rPr>
                <w:rFonts w:ascii="Arial" w:eastAsia="Times New Roman" w:hAnsi="Arial" w:cs="Arial"/>
                <w:bCs/>
                <w:sz w:val="20"/>
                <w:szCs w:val="20"/>
                <w:lang w:eastAsia="fr-FR"/>
              </w:rPr>
              <w:t xml:space="preserve">nombre </w:t>
            </w:r>
            <w:r w:rsidR="0058545B">
              <w:rPr>
                <w:rFonts w:ascii="Arial" w:eastAsia="Times New Roman" w:hAnsi="Arial" w:cs="Arial"/>
                <w:bCs/>
                <w:sz w:val="20"/>
                <w:szCs w:val="20"/>
                <w:lang w:eastAsia="fr-FR"/>
              </w:rPr>
              <w:t xml:space="preserve">ou du type </w:t>
            </w:r>
            <w:r w:rsidR="0058545B" w:rsidRPr="0058545B">
              <w:rPr>
                <w:rFonts w:ascii="Arial" w:eastAsia="Times New Roman" w:hAnsi="Arial" w:cs="Arial"/>
                <w:bCs/>
                <w:sz w:val="20"/>
                <w:szCs w:val="20"/>
                <w:lang w:eastAsia="fr-FR"/>
              </w:rPr>
              <w:t>de signalements</w:t>
            </w:r>
          </w:p>
          <w:p w:rsidR="00E1263B" w:rsidRDefault="00E1263B" w:rsidP="004B0C4D">
            <w:pPr>
              <w:spacing w:line="220" w:lineRule="exact"/>
              <w:jc w:val="both"/>
              <w:rPr>
                <w:rFonts w:ascii="Arial" w:hAnsi="Arial" w:cs="Arial"/>
                <w:sz w:val="20"/>
                <w:szCs w:val="20"/>
              </w:rPr>
            </w:pPr>
          </w:p>
          <w:p w:rsidR="00562D16" w:rsidRDefault="005C5EDE" w:rsidP="004B0C4D">
            <w:pPr>
              <w:spacing w:line="220" w:lineRule="exact"/>
              <w:jc w:val="both"/>
              <w:rPr>
                <w:rFonts w:ascii="Arial" w:hAnsi="Arial" w:cs="Arial"/>
                <w:sz w:val="20"/>
                <w:szCs w:val="20"/>
              </w:rPr>
            </w:pPr>
            <w:r>
              <w:rPr>
                <w:rFonts w:ascii="Arial" w:hAnsi="Arial" w:cs="Arial"/>
                <w:sz w:val="20"/>
                <w:szCs w:val="20"/>
              </w:rPr>
              <w:t>Nombre d’enfant</w:t>
            </w:r>
            <w:r w:rsidR="00E1263B">
              <w:rPr>
                <w:rFonts w:ascii="Arial" w:hAnsi="Arial" w:cs="Arial"/>
                <w:sz w:val="20"/>
                <w:szCs w:val="20"/>
              </w:rPr>
              <w:t>s</w:t>
            </w:r>
            <w:r>
              <w:rPr>
                <w:rFonts w:ascii="Arial" w:hAnsi="Arial" w:cs="Arial"/>
                <w:sz w:val="20"/>
                <w:szCs w:val="20"/>
              </w:rPr>
              <w:t xml:space="preserve"> accueillis dans des nouveaux services ou actions sur la première cible des</w:t>
            </w:r>
            <w:r w:rsidR="00E1263B">
              <w:rPr>
                <w:rFonts w:ascii="Arial" w:hAnsi="Arial" w:cs="Arial"/>
                <w:sz w:val="20"/>
                <w:szCs w:val="20"/>
              </w:rPr>
              <w:t xml:space="preserve"> </w:t>
            </w:r>
            <w:r>
              <w:rPr>
                <w:rFonts w:ascii="Arial" w:hAnsi="Arial" w:cs="Arial"/>
                <w:sz w:val="20"/>
                <w:szCs w:val="20"/>
              </w:rPr>
              <w:t>1</w:t>
            </w:r>
            <w:r w:rsidR="00E1263B">
              <w:rPr>
                <w:rFonts w:ascii="Arial" w:hAnsi="Arial" w:cs="Arial"/>
                <w:sz w:val="20"/>
                <w:szCs w:val="20"/>
              </w:rPr>
              <w:t xml:space="preserve"> </w:t>
            </w:r>
            <w:r>
              <w:rPr>
                <w:rFonts w:ascii="Arial" w:hAnsi="Arial" w:cs="Arial"/>
                <w:sz w:val="20"/>
                <w:szCs w:val="20"/>
              </w:rPr>
              <w:t>281 enfants de moins de 6 ans</w:t>
            </w:r>
            <w:r w:rsidR="00E1263B">
              <w:rPr>
                <w:rFonts w:ascii="Arial" w:hAnsi="Arial" w:cs="Arial"/>
                <w:sz w:val="20"/>
                <w:szCs w:val="20"/>
              </w:rPr>
              <w:t> ;</w:t>
            </w:r>
          </w:p>
          <w:p w:rsidR="00E1263B" w:rsidRPr="00E1263B" w:rsidRDefault="00E1263B" w:rsidP="004B0C4D">
            <w:pPr>
              <w:spacing w:line="220" w:lineRule="exact"/>
              <w:jc w:val="both"/>
              <w:rPr>
                <w:rFonts w:ascii="Arial" w:hAnsi="Arial" w:cs="Arial"/>
                <w:sz w:val="16"/>
                <w:szCs w:val="20"/>
              </w:rPr>
            </w:pPr>
          </w:p>
          <w:p w:rsidR="005C5EDE" w:rsidRDefault="005C5EDE" w:rsidP="004B0C4D">
            <w:pPr>
              <w:spacing w:line="220" w:lineRule="exact"/>
              <w:jc w:val="both"/>
              <w:rPr>
                <w:rFonts w:ascii="Arial" w:hAnsi="Arial" w:cs="Arial"/>
                <w:sz w:val="20"/>
                <w:szCs w:val="20"/>
              </w:rPr>
            </w:pPr>
            <w:r>
              <w:rPr>
                <w:rFonts w:ascii="Arial" w:hAnsi="Arial" w:cs="Arial"/>
                <w:sz w:val="20"/>
                <w:szCs w:val="20"/>
              </w:rPr>
              <w:t>Evolution du nombre d’information et de médiation familiale conventionnelle et judiciaire entre 2020 et 2021 puis 2022 à partir des données du plateau médiation et du nombre de séparations enregistrés par la CAF et du nombre de rendez-vous réalisé</w:t>
            </w:r>
            <w:r w:rsidR="00081046">
              <w:rPr>
                <w:rFonts w:ascii="Arial" w:hAnsi="Arial" w:cs="Arial"/>
                <w:sz w:val="20"/>
                <w:szCs w:val="20"/>
              </w:rPr>
              <w:t>s</w:t>
            </w:r>
            <w:r>
              <w:rPr>
                <w:rFonts w:ascii="Arial" w:hAnsi="Arial" w:cs="Arial"/>
                <w:sz w:val="20"/>
                <w:szCs w:val="20"/>
              </w:rPr>
              <w:t xml:space="preserve"> lors du parcours séparation proposé</w:t>
            </w:r>
            <w:r w:rsidR="00E1263B">
              <w:rPr>
                <w:rFonts w:ascii="Arial" w:hAnsi="Arial" w:cs="Arial"/>
                <w:sz w:val="20"/>
                <w:szCs w:val="20"/>
              </w:rPr>
              <w:t> ;</w:t>
            </w:r>
          </w:p>
          <w:p w:rsidR="00E1263B" w:rsidRDefault="00E1263B" w:rsidP="004B0C4D">
            <w:pPr>
              <w:spacing w:line="220" w:lineRule="exact"/>
              <w:jc w:val="both"/>
              <w:rPr>
                <w:rFonts w:ascii="Arial" w:hAnsi="Arial" w:cs="Arial"/>
                <w:sz w:val="20"/>
                <w:szCs w:val="20"/>
              </w:rPr>
            </w:pPr>
          </w:p>
          <w:p w:rsidR="00CD651C" w:rsidRDefault="00E35C39" w:rsidP="004B0C4D">
            <w:pPr>
              <w:spacing w:line="220" w:lineRule="exact"/>
              <w:jc w:val="both"/>
              <w:rPr>
                <w:rFonts w:ascii="Arial" w:eastAsia="Times New Roman" w:hAnsi="Arial" w:cs="Arial"/>
                <w:bCs/>
                <w:i/>
                <w:sz w:val="20"/>
                <w:szCs w:val="20"/>
                <w:lang w:eastAsia="fr-FR"/>
              </w:rPr>
            </w:pPr>
            <w:r>
              <w:rPr>
                <w:rFonts w:ascii="Arial" w:hAnsi="Arial" w:cs="Arial"/>
                <w:sz w:val="20"/>
                <w:szCs w:val="20"/>
              </w:rPr>
              <w:t>Evolution du n</w:t>
            </w:r>
            <w:r w:rsidR="00CD651C">
              <w:rPr>
                <w:rFonts w:ascii="Arial" w:hAnsi="Arial" w:cs="Arial"/>
                <w:sz w:val="20"/>
                <w:szCs w:val="20"/>
              </w:rPr>
              <w:t>ombre d’action commune réalisée</w:t>
            </w:r>
            <w:r>
              <w:rPr>
                <w:rFonts w:ascii="Arial" w:hAnsi="Arial" w:cs="Arial"/>
                <w:sz w:val="20"/>
                <w:szCs w:val="20"/>
              </w:rPr>
              <w:t xml:space="preserve"> par le Réseau des parents ou d’autres acteurs du secteur de la parentalité sur ce territoire.</w:t>
            </w:r>
          </w:p>
          <w:p w:rsidR="00E1263B" w:rsidRDefault="00E1263B" w:rsidP="004B0C4D">
            <w:pPr>
              <w:spacing w:line="220" w:lineRule="exact"/>
              <w:jc w:val="both"/>
              <w:rPr>
                <w:rFonts w:ascii="Arial" w:eastAsia="Times New Roman" w:hAnsi="Arial" w:cs="Arial"/>
                <w:b/>
                <w:bCs/>
                <w:i/>
                <w:sz w:val="20"/>
                <w:szCs w:val="20"/>
                <w:lang w:eastAsia="fr-FR"/>
              </w:rPr>
            </w:pPr>
          </w:p>
          <w:p w:rsidR="00EA7DFE" w:rsidRPr="00562D16" w:rsidRDefault="00562D16" w:rsidP="004B0C4D">
            <w:pPr>
              <w:spacing w:line="220" w:lineRule="exact"/>
              <w:jc w:val="both"/>
              <w:rPr>
                <w:rFonts w:ascii="Arial" w:eastAsia="Times New Roman" w:hAnsi="Arial" w:cs="Arial"/>
                <w:b/>
                <w:bCs/>
                <w:i/>
                <w:sz w:val="20"/>
                <w:szCs w:val="20"/>
                <w:lang w:eastAsia="fr-FR"/>
              </w:rPr>
            </w:pPr>
            <w:r w:rsidRPr="00562D16">
              <w:rPr>
                <w:rFonts w:ascii="Arial" w:eastAsia="Times New Roman" w:hAnsi="Arial" w:cs="Arial"/>
                <w:b/>
                <w:bCs/>
                <w:i/>
                <w:sz w:val="20"/>
                <w:szCs w:val="20"/>
                <w:lang w:eastAsia="fr-FR"/>
              </w:rPr>
              <w:t>Méthode d’évaluation envisagée :</w:t>
            </w:r>
            <w:r w:rsidR="0058545B">
              <w:rPr>
                <w:rFonts w:ascii="Arial" w:eastAsia="Times New Roman" w:hAnsi="Arial" w:cs="Arial"/>
                <w:b/>
                <w:bCs/>
                <w:i/>
                <w:sz w:val="20"/>
                <w:szCs w:val="20"/>
                <w:lang w:eastAsia="fr-FR"/>
              </w:rPr>
              <w:t xml:space="preserve"> </w:t>
            </w:r>
            <w:r w:rsidR="00A26399" w:rsidRPr="00A26399">
              <w:rPr>
                <w:rFonts w:ascii="Arial" w:eastAsia="Times New Roman" w:hAnsi="Arial" w:cs="Arial"/>
                <w:bCs/>
                <w:i/>
                <w:sz w:val="20"/>
                <w:szCs w:val="20"/>
                <w:lang w:eastAsia="fr-FR"/>
              </w:rPr>
              <w:t>à partir des rapports d’activité</w:t>
            </w:r>
          </w:p>
        </w:tc>
      </w:tr>
    </w:tbl>
    <w:p w:rsidR="00C55AAD" w:rsidRPr="007006B6" w:rsidRDefault="00C55AAD" w:rsidP="00CB54D6">
      <w:pPr>
        <w:spacing w:after="0" w:line="260" w:lineRule="atLeast"/>
        <w:rPr>
          <w:i/>
          <w:color w:val="7F7F7F" w:themeColor="text1" w:themeTint="80"/>
          <w:sz w:val="24"/>
          <w:highlight w:val="magenta"/>
        </w:rPr>
      </w:pPr>
    </w:p>
    <w:sectPr w:rsidR="00C55AAD" w:rsidRPr="007006B6" w:rsidSect="003211A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684" w:rsidRDefault="00E50684" w:rsidP="000F65D0">
      <w:pPr>
        <w:spacing w:after="0" w:line="240" w:lineRule="auto"/>
      </w:pPr>
      <w:r>
        <w:separator/>
      </w:r>
    </w:p>
  </w:endnote>
  <w:endnote w:type="continuationSeparator" w:id="0">
    <w:p w:rsidR="00E50684" w:rsidRDefault="00E50684"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Demi">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FE" w:rsidRPr="00697F84" w:rsidRDefault="00BA59FE" w:rsidP="000F65D0">
    <w:pPr>
      <w:pStyle w:val="Pieddepage"/>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684" w:rsidRDefault="00E50684" w:rsidP="000F65D0">
      <w:pPr>
        <w:spacing w:after="0" w:line="240" w:lineRule="auto"/>
      </w:pPr>
      <w:r>
        <w:separator/>
      </w:r>
    </w:p>
  </w:footnote>
  <w:footnote w:type="continuationSeparator" w:id="0">
    <w:p w:rsidR="00E50684" w:rsidRDefault="00E50684" w:rsidP="000F6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E7D76"/>
    <w:multiLevelType w:val="hybridMultilevel"/>
    <w:tmpl w:val="693C7DA4"/>
    <w:lvl w:ilvl="0" w:tplc="7BE0A19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4E04E8D"/>
    <w:multiLevelType w:val="hybridMultilevel"/>
    <w:tmpl w:val="03C61A8E"/>
    <w:lvl w:ilvl="0" w:tplc="BC5A5EE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CB137A9"/>
    <w:multiLevelType w:val="hybridMultilevel"/>
    <w:tmpl w:val="25940E36"/>
    <w:lvl w:ilvl="0" w:tplc="9A089F4C">
      <w:start w:val="3"/>
      <w:numFmt w:val="bullet"/>
      <w:lvlText w:val="-"/>
      <w:lvlJc w:val="left"/>
      <w:pPr>
        <w:ind w:left="754" w:hanging="360"/>
      </w:pPr>
      <w:rPr>
        <w:rFonts w:ascii="Calibri" w:eastAsia="Calibri" w:hAnsi="Calibri"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5">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4D"/>
    <w:rsid w:val="00003907"/>
    <w:rsid w:val="000133B0"/>
    <w:rsid w:val="000369F8"/>
    <w:rsid w:val="000415CE"/>
    <w:rsid w:val="000467C4"/>
    <w:rsid w:val="00047A55"/>
    <w:rsid w:val="0007266E"/>
    <w:rsid w:val="00081046"/>
    <w:rsid w:val="00081313"/>
    <w:rsid w:val="0009071D"/>
    <w:rsid w:val="00092B06"/>
    <w:rsid w:val="00095BF8"/>
    <w:rsid w:val="000B410A"/>
    <w:rsid w:val="000D20D5"/>
    <w:rsid w:val="000E4572"/>
    <w:rsid w:val="000F65D0"/>
    <w:rsid w:val="001361D6"/>
    <w:rsid w:val="00143098"/>
    <w:rsid w:val="001514A1"/>
    <w:rsid w:val="00155A3B"/>
    <w:rsid w:val="001A363E"/>
    <w:rsid w:val="001A375D"/>
    <w:rsid w:val="001A443E"/>
    <w:rsid w:val="001B5676"/>
    <w:rsid w:val="001B66A4"/>
    <w:rsid w:val="001D2B35"/>
    <w:rsid w:val="001D3C27"/>
    <w:rsid w:val="001E521F"/>
    <w:rsid w:val="001F0BA4"/>
    <w:rsid w:val="001F3366"/>
    <w:rsid w:val="00200CC5"/>
    <w:rsid w:val="00220C2D"/>
    <w:rsid w:val="00232B63"/>
    <w:rsid w:val="00232D46"/>
    <w:rsid w:val="002369FA"/>
    <w:rsid w:val="00236FB1"/>
    <w:rsid w:val="00283654"/>
    <w:rsid w:val="002856CC"/>
    <w:rsid w:val="002A03EA"/>
    <w:rsid w:val="002A3D11"/>
    <w:rsid w:val="002B2249"/>
    <w:rsid w:val="002C3F5E"/>
    <w:rsid w:val="002C5D0C"/>
    <w:rsid w:val="002E030B"/>
    <w:rsid w:val="002E571E"/>
    <w:rsid w:val="002F799F"/>
    <w:rsid w:val="00317EE6"/>
    <w:rsid w:val="003211AB"/>
    <w:rsid w:val="003354C3"/>
    <w:rsid w:val="003460A6"/>
    <w:rsid w:val="00354DE9"/>
    <w:rsid w:val="0036710F"/>
    <w:rsid w:val="00377645"/>
    <w:rsid w:val="00394826"/>
    <w:rsid w:val="003A635D"/>
    <w:rsid w:val="003B4B0E"/>
    <w:rsid w:val="003B50D4"/>
    <w:rsid w:val="003C1972"/>
    <w:rsid w:val="003C5A06"/>
    <w:rsid w:val="003C7858"/>
    <w:rsid w:val="003D3A7D"/>
    <w:rsid w:val="003D7039"/>
    <w:rsid w:val="003E06AB"/>
    <w:rsid w:val="003E6827"/>
    <w:rsid w:val="003F4186"/>
    <w:rsid w:val="00406721"/>
    <w:rsid w:val="00413208"/>
    <w:rsid w:val="004205F4"/>
    <w:rsid w:val="00436EC6"/>
    <w:rsid w:val="004438EA"/>
    <w:rsid w:val="004538FE"/>
    <w:rsid w:val="00454C16"/>
    <w:rsid w:val="0046751A"/>
    <w:rsid w:val="00470F3C"/>
    <w:rsid w:val="00485C93"/>
    <w:rsid w:val="00497CC6"/>
    <w:rsid w:val="004B09AF"/>
    <w:rsid w:val="004B0C4D"/>
    <w:rsid w:val="004D2233"/>
    <w:rsid w:val="004E08EB"/>
    <w:rsid w:val="004E3FC8"/>
    <w:rsid w:val="00507524"/>
    <w:rsid w:val="00514B68"/>
    <w:rsid w:val="00520A61"/>
    <w:rsid w:val="005259C1"/>
    <w:rsid w:val="005279BE"/>
    <w:rsid w:val="005424C3"/>
    <w:rsid w:val="00562D16"/>
    <w:rsid w:val="00565122"/>
    <w:rsid w:val="0057104E"/>
    <w:rsid w:val="00581B8F"/>
    <w:rsid w:val="0058545B"/>
    <w:rsid w:val="0058636E"/>
    <w:rsid w:val="005B3191"/>
    <w:rsid w:val="005B59B5"/>
    <w:rsid w:val="005C4530"/>
    <w:rsid w:val="005C5EDE"/>
    <w:rsid w:val="005C6B90"/>
    <w:rsid w:val="005D223B"/>
    <w:rsid w:val="00603E4F"/>
    <w:rsid w:val="006075C2"/>
    <w:rsid w:val="00635DD5"/>
    <w:rsid w:val="00642029"/>
    <w:rsid w:val="00645F05"/>
    <w:rsid w:val="00667A06"/>
    <w:rsid w:val="00683C9E"/>
    <w:rsid w:val="00694BE4"/>
    <w:rsid w:val="00697F84"/>
    <w:rsid w:val="006C222A"/>
    <w:rsid w:val="006E7AC4"/>
    <w:rsid w:val="006E7EA4"/>
    <w:rsid w:val="006F6247"/>
    <w:rsid w:val="007006B6"/>
    <w:rsid w:val="0070294D"/>
    <w:rsid w:val="0072428A"/>
    <w:rsid w:val="00737BD8"/>
    <w:rsid w:val="00744B14"/>
    <w:rsid w:val="007452AB"/>
    <w:rsid w:val="00764B41"/>
    <w:rsid w:val="00765FA6"/>
    <w:rsid w:val="007A2C05"/>
    <w:rsid w:val="007A43F5"/>
    <w:rsid w:val="007B5518"/>
    <w:rsid w:val="007C733F"/>
    <w:rsid w:val="007D344D"/>
    <w:rsid w:val="007F5BDF"/>
    <w:rsid w:val="007F5EE5"/>
    <w:rsid w:val="008124C7"/>
    <w:rsid w:val="00822B00"/>
    <w:rsid w:val="0083674A"/>
    <w:rsid w:val="0084326F"/>
    <w:rsid w:val="0085285D"/>
    <w:rsid w:val="00853973"/>
    <w:rsid w:val="00867184"/>
    <w:rsid w:val="00880675"/>
    <w:rsid w:val="008955BD"/>
    <w:rsid w:val="008D6145"/>
    <w:rsid w:val="008D747C"/>
    <w:rsid w:val="008E2932"/>
    <w:rsid w:val="008E35E9"/>
    <w:rsid w:val="0090054A"/>
    <w:rsid w:val="0090317F"/>
    <w:rsid w:val="00931A42"/>
    <w:rsid w:val="009507D8"/>
    <w:rsid w:val="00964B2E"/>
    <w:rsid w:val="00993EAA"/>
    <w:rsid w:val="00996C61"/>
    <w:rsid w:val="009B2256"/>
    <w:rsid w:val="009D1504"/>
    <w:rsid w:val="009D2C12"/>
    <w:rsid w:val="009E216D"/>
    <w:rsid w:val="009E3C5B"/>
    <w:rsid w:val="009E5171"/>
    <w:rsid w:val="009F7643"/>
    <w:rsid w:val="00A05F6F"/>
    <w:rsid w:val="00A06420"/>
    <w:rsid w:val="00A064B3"/>
    <w:rsid w:val="00A12491"/>
    <w:rsid w:val="00A17758"/>
    <w:rsid w:val="00A26399"/>
    <w:rsid w:val="00A26463"/>
    <w:rsid w:val="00A432DC"/>
    <w:rsid w:val="00A50A11"/>
    <w:rsid w:val="00A52410"/>
    <w:rsid w:val="00A57895"/>
    <w:rsid w:val="00A65EA5"/>
    <w:rsid w:val="00A84D22"/>
    <w:rsid w:val="00A853BA"/>
    <w:rsid w:val="00A85539"/>
    <w:rsid w:val="00A91263"/>
    <w:rsid w:val="00A95222"/>
    <w:rsid w:val="00AA64E8"/>
    <w:rsid w:val="00AB46F7"/>
    <w:rsid w:val="00AC64C8"/>
    <w:rsid w:val="00B3589D"/>
    <w:rsid w:val="00B6113B"/>
    <w:rsid w:val="00B63045"/>
    <w:rsid w:val="00B77E55"/>
    <w:rsid w:val="00B90206"/>
    <w:rsid w:val="00BA28B9"/>
    <w:rsid w:val="00BA59FE"/>
    <w:rsid w:val="00BA67BA"/>
    <w:rsid w:val="00BB46BC"/>
    <w:rsid w:val="00BC1EC3"/>
    <w:rsid w:val="00BC68A1"/>
    <w:rsid w:val="00BD6522"/>
    <w:rsid w:val="00C064B1"/>
    <w:rsid w:val="00C108AC"/>
    <w:rsid w:val="00C20F50"/>
    <w:rsid w:val="00C24B6E"/>
    <w:rsid w:val="00C55AAD"/>
    <w:rsid w:val="00C64A31"/>
    <w:rsid w:val="00C66B41"/>
    <w:rsid w:val="00C67C76"/>
    <w:rsid w:val="00C7161B"/>
    <w:rsid w:val="00C84165"/>
    <w:rsid w:val="00C861E6"/>
    <w:rsid w:val="00C959AA"/>
    <w:rsid w:val="00CA5EAF"/>
    <w:rsid w:val="00CB1869"/>
    <w:rsid w:val="00CB2089"/>
    <w:rsid w:val="00CB54D6"/>
    <w:rsid w:val="00CD651C"/>
    <w:rsid w:val="00CE2A16"/>
    <w:rsid w:val="00CF332C"/>
    <w:rsid w:val="00CF4089"/>
    <w:rsid w:val="00CF5A01"/>
    <w:rsid w:val="00D06A10"/>
    <w:rsid w:val="00D207A0"/>
    <w:rsid w:val="00D26527"/>
    <w:rsid w:val="00D27A22"/>
    <w:rsid w:val="00D515D0"/>
    <w:rsid w:val="00D6315F"/>
    <w:rsid w:val="00D8214D"/>
    <w:rsid w:val="00D857D5"/>
    <w:rsid w:val="00D918EE"/>
    <w:rsid w:val="00D9224D"/>
    <w:rsid w:val="00DA7BA0"/>
    <w:rsid w:val="00DB1DCC"/>
    <w:rsid w:val="00DC5BF0"/>
    <w:rsid w:val="00DD41B9"/>
    <w:rsid w:val="00E1263B"/>
    <w:rsid w:val="00E22823"/>
    <w:rsid w:val="00E35C39"/>
    <w:rsid w:val="00E4089D"/>
    <w:rsid w:val="00E42C22"/>
    <w:rsid w:val="00E50684"/>
    <w:rsid w:val="00E71DC1"/>
    <w:rsid w:val="00E76BA1"/>
    <w:rsid w:val="00E92D2D"/>
    <w:rsid w:val="00EA7DFE"/>
    <w:rsid w:val="00EB1BBA"/>
    <w:rsid w:val="00ED0575"/>
    <w:rsid w:val="00EE1636"/>
    <w:rsid w:val="00EE519C"/>
    <w:rsid w:val="00F008ED"/>
    <w:rsid w:val="00F16670"/>
    <w:rsid w:val="00F37CE5"/>
    <w:rsid w:val="00F4306F"/>
    <w:rsid w:val="00F47D59"/>
    <w:rsid w:val="00F56621"/>
    <w:rsid w:val="00F67A8A"/>
    <w:rsid w:val="00F71D52"/>
    <w:rsid w:val="00F743EE"/>
    <w:rsid w:val="00F81338"/>
    <w:rsid w:val="00F85A30"/>
    <w:rsid w:val="00F91A39"/>
    <w:rsid w:val="00F940FE"/>
    <w:rsid w:val="00FA242B"/>
    <w:rsid w:val="00FA6C77"/>
    <w:rsid w:val="00FB0EB1"/>
    <w:rsid w:val="00FC2812"/>
    <w:rsid w:val="00FD4E5E"/>
    <w:rsid w:val="00FF71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customStyle="1" w:styleId="A2">
    <w:name w:val="A2"/>
    <w:uiPriority w:val="99"/>
    <w:rsid w:val="00C84165"/>
    <w:rPr>
      <w:rFonts w:cs="Franklin Gothic Dem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customStyle="1" w:styleId="A2">
    <w:name w:val="A2"/>
    <w:uiPriority w:val="99"/>
    <w:rsid w:val="00C84165"/>
    <w:rPr>
      <w:rFonts w:cs="Franklin Gothic Dem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8394">
      <w:bodyDiv w:val="1"/>
      <w:marLeft w:val="0"/>
      <w:marRight w:val="0"/>
      <w:marTop w:val="0"/>
      <w:marBottom w:val="0"/>
      <w:divBdr>
        <w:top w:val="none" w:sz="0" w:space="0" w:color="auto"/>
        <w:left w:val="none" w:sz="0" w:space="0" w:color="auto"/>
        <w:bottom w:val="none" w:sz="0" w:space="0" w:color="auto"/>
        <w:right w:val="none" w:sz="0" w:space="0" w:color="auto"/>
      </w:divBdr>
    </w:div>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1294871415">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Demi">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51"/>
    <w:rsid w:val="00292995"/>
    <w:rsid w:val="00457847"/>
    <w:rsid w:val="00461B3A"/>
    <w:rsid w:val="00495AAB"/>
    <w:rsid w:val="00600894"/>
    <w:rsid w:val="00643722"/>
    <w:rsid w:val="006A25DD"/>
    <w:rsid w:val="006F66D6"/>
    <w:rsid w:val="00714679"/>
    <w:rsid w:val="007F6977"/>
    <w:rsid w:val="008624D3"/>
    <w:rsid w:val="00880E1B"/>
    <w:rsid w:val="008A72B6"/>
    <w:rsid w:val="008B026F"/>
    <w:rsid w:val="008E0070"/>
    <w:rsid w:val="009B4F8E"/>
    <w:rsid w:val="009C782F"/>
    <w:rsid w:val="009D2B51"/>
    <w:rsid w:val="00AC25D1"/>
    <w:rsid w:val="00AD3D5A"/>
    <w:rsid w:val="00AF4D57"/>
    <w:rsid w:val="00C50D88"/>
    <w:rsid w:val="00CC330F"/>
    <w:rsid w:val="00CF0536"/>
    <w:rsid w:val="00D52621"/>
    <w:rsid w:val="00E21CF5"/>
    <w:rsid w:val="00E84E5F"/>
    <w:rsid w:val="00FC75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A23E6-E8A7-4D61-B026-C7B565753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1313</Words>
  <Characters>7227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PAIN, Laure</cp:lastModifiedBy>
  <cp:revision>9</cp:revision>
  <cp:lastPrinted>2019-09-16T13:02:00Z</cp:lastPrinted>
  <dcterms:created xsi:type="dcterms:W3CDTF">2020-01-24T17:08:00Z</dcterms:created>
  <dcterms:modified xsi:type="dcterms:W3CDTF">2020-02-06T22:19:00Z</dcterms:modified>
</cp:coreProperties>
</file>