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2014"/>
        <w:gridCol w:w="3230"/>
      </w:tblGrid>
      <w:tr w:rsidR="00DC5BF0" w:rsidRPr="00697F84" w:rsidTr="00EC469B">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8D18BF">
              <w:t>3.1</w:t>
            </w:r>
          </w:p>
        </w:tc>
        <w:tc>
          <w:tcPr>
            <w:tcW w:w="7033" w:type="dxa"/>
            <w:gridSpan w:val="4"/>
            <w:tcBorders>
              <w:bottom w:val="single" w:sz="4" w:space="0" w:color="auto"/>
            </w:tcBorders>
            <w:shd w:val="clear" w:color="auto" w:fill="FFFFFF" w:themeFill="background1"/>
            <w:vAlign w:val="center"/>
          </w:tcPr>
          <w:p w:rsidR="00CF5A01" w:rsidRPr="00BA59FE" w:rsidRDefault="008D18BF" w:rsidP="00CF5A01">
            <w:pPr>
              <w:jc w:val="center"/>
              <w:rPr>
                <w:rFonts w:ascii="Helvetica" w:hAnsi="Helvetica" w:cs="Helvetica"/>
                <w:b/>
                <w:color w:val="000000"/>
                <w:shd w:val="clear" w:color="auto" w:fill="FFFFFF"/>
              </w:rPr>
            </w:pPr>
            <w:r w:rsidRPr="008D18BF">
              <w:rPr>
                <w:rFonts w:ascii="Helvetica" w:hAnsi="Helvetica" w:cs="Helvetica"/>
                <w:b/>
                <w:color w:val="000000"/>
                <w:shd w:val="clear" w:color="auto" w:fill="FFFFFF"/>
              </w:rPr>
              <w:t>Expérimenter le dispositif d'Appartements de Coordination Thérapeutique à Domicile en milieu rural</w:t>
            </w:r>
          </w:p>
        </w:tc>
      </w:tr>
      <w:tr w:rsidR="00BA67BA" w:rsidRPr="00697F84" w:rsidTr="00EC469B">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703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C469B">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7033" w:type="dxa"/>
            <w:gridSpan w:val="4"/>
            <w:shd w:val="clear" w:color="auto" w:fill="auto"/>
          </w:tcPr>
          <w:p w:rsidR="002A03EA" w:rsidRDefault="001514A1"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bookmarkStart w:id="0" w:name="CaseACocher62"/>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003907" w:rsidRPr="00354DE9">
              <w:rPr>
                <w:rFonts w:ascii="Arial" w:hAnsi="Arial" w:cs="Arial"/>
                <w:sz w:val="20"/>
                <w:szCs w:val="20"/>
              </w:rPr>
              <w:t xml:space="preserve">Nouvelle action     </w:t>
            </w:r>
            <w:r w:rsidR="008D18BF">
              <w:rPr>
                <w:rFonts w:ascii="Arial" w:hAnsi="Arial" w:cs="Arial"/>
                <w:sz w:val="20"/>
                <w:szCs w:val="20"/>
              </w:rPr>
              <w:fldChar w:fldCharType="begin">
                <w:ffData>
                  <w:name w:val=""/>
                  <w:enabled/>
                  <w:calcOnExit w:val="0"/>
                  <w:checkBox>
                    <w:sizeAuto/>
                    <w:default w:val="1"/>
                  </w:checkBox>
                </w:ffData>
              </w:fldChar>
            </w:r>
            <w:r w:rsidR="008D18BF">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008D18BF">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EC469B">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332" w:type="dxa"/>
            <w:gridSpan w:val="3"/>
            <w:shd w:val="clear" w:color="auto" w:fill="auto"/>
            <w:vAlign w:val="center"/>
          </w:tcPr>
          <w:p w:rsidR="00CE2A16" w:rsidRPr="00CB1869" w:rsidRDefault="006C02CD" w:rsidP="009514E5">
            <w:pPr>
              <w:jc w:val="both"/>
              <w:rPr>
                <w:rFonts w:ascii="Arial" w:hAnsi="Arial" w:cs="Arial"/>
                <w:i/>
                <w:sz w:val="20"/>
                <w:szCs w:val="20"/>
              </w:rPr>
            </w:pPr>
            <w:r>
              <w:rPr>
                <w:rFonts w:ascii="Arial" w:hAnsi="Arial" w:cs="Arial"/>
                <w:i/>
                <w:sz w:val="20"/>
                <w:szCs w:val="20"/>
              </w:rPr>
              <w:t>ARSEA GALA</w:t>
            </w:r>
          </w:p>
        </w:tc>
      </w:tr>
      <w:tr w:rsidR="00CE2A16" w:rsidRPr="00354DE9" w:rsidTr="00EC469B">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332" w:type="dxa"/>
            <w:gridSpan w:val="3"/>
            <w:shd w:val="clear" w:color="auto" w:fill="auto"/>
            <w:vAlign w:val="center"/>
          </w:tcPr>
          <w:p w:rsidR="00CE2A16" w:rsidRPr="00CB1869" w:rsidRDefault="006C02CD" w:rsidP="009514E5">
            <w:pPr>
              <w:jc w:val="both"/>
              <w:rPr>
                <w:rFonts w:ascii="Arial" w:hAnsi="Arial" w:cs="Arial"/>
                <w:i/>
                <w:sz w:val="20"/>
                <w:szCs w:val="20"/>
              </w:rPr>
            </w:pPr>
            <w:r>
              <w:rPr>
                <w:rFonts w:ascii="Arial" w:hAnsi="Arial" w:cs="Arial"/>
                <w:i/>
                <w:sz w:val="20"/>
                <w:szCs w:val="20"/>
              </w:rPr>
              <w:t>Sami BARKALLAH</w:t>
            </w:r>
            <w:r w:rsidR="006226B2">
              <w:rPr>
                <w:rFonts w:ascii="Arial" w:hAnsi="Arial" w:cs="Arial"/>
                <w:i/>
                <w:sz w:val="20"/>
                <w:szCs w:val="20"/>
              </w:rPr>
              <w:t xml:space="preserve"> et Florence KLEIN</w:t>
            </w:r>
          </w:p>
        </w:tc>
      </w:tr>
      <w:tr w:rsidR="00354DE9" w:rsidRPr="00354DE9" w:rsidTr="00EC469B">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7033" w:type="dxa"/>
            <w:gridSpan w:val="4"/>
            <w:vAlign w:val="center"/>
          </w:tcPr>
          <w:p w:rsidR="0057104E" w:rsidRPr="00F743EE" w:rsidRDefault="00CF5A01" w:rsidP="007269EE">
            <w:pPr>
              <w:rPr>
                <w:rFonts w:ascii="Arial" w:hAnsi="Arial" w:cs="Arial"/>
                <w:b/>
                <w:bCs/>
                <w:sz w:val="20"/>
                <w:szCs w:val="20"/>
              </w:rPr>
            </w:pPr>
            <w:r w:rsidRPr="00F743EE">
              <w:rPr>
                <w:rFonts w:ascii="Arial" w:hAnsi="Arial" w:cs="Arial"/>
                <w:b/>
                <w:bCs/>
                <w:sz w:val="20"/>
                <w:szCs w:val="20"/>
              </w:rPr>
              <w:t xml:space="preserve"> </w:t>
            </w:r>
            <w:r w:rsidR="008D18BF">
              <w:rPr>
                <w:rFonts w:ascii="Arial" w:hAnsi="Arial" w:cs="Arial"/>
                <w:b/>
                <w:bCs/>
                <w:sz w:val="20"/>
                <w:szCs w:val="20"/>
              </w:rPr>
              <w:t>Axe 3 :</w:t>
            </w:r>
            <w:r w:rsidR="008D18BF">
              <w:t xml:space="preserve"> </w:t>
            </w:r>
            <w:r w:rsidR="008D18BF" w:rsidRPr="008D18BF">
              <w:rPr>
                <w:rFonts w:ascii="Arial" w:hAnsi="Arial" w:cs="Arial"/>
                <w:b/>
                <w:bCs/>
                <w:sz w:val="20"/>
                <w:szCs w:val="20"/>
              </w:rPr>
              <w:t>Accès à la prévention et aux soins des populations vulnérables</w:t>
            </w:r>
          </w:p>
        </w:tc>
      </w:tr>
      <w:tr w:rsidR="00354DE9" w:rsidRPr="00354DE9" w:rsidTr="00EC469B">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7033" w:type="dxa"/>
            <w:gridSpan w:val="4"/>
            <w:vAlign w:val="center"/>
          </w:tcPr>
          <w:p w:rsidR="00867184" w:rsidRDefault="006C02CD" w:rsidP="009514E5">
            <w:pPr>
              <w:jc w:val="both"/>
              <w:rPr>
                <w:rFonts w:ascii="Arial" w:hAnsi="Arial" w:cs="Arial"/>
                <w:sz w:val="20"/>
                <w:szCs w:val="20"/>
              </w:rPr>
            </w:pPr>
            <w:r>
              <w:rPr>
                <w:rFonts w:ascii="Arial" w:hAnsi="Arial" w:cs="Arial"/>
                <w:sz w:val="20"/>
                <w:szCs w:val="20"/>
              </w:rPr>
              <w:t>La zone de proximité</w:t>
            </w:r>
            <w:r w:rsidR="0011319B">
              <w:rPr>
                <w:rFonts w:ascii="Arial" w:hAnsi="Arial" w:cs="Arial"/>
                <w:sz w:val="20"/>
                <w:szCs w:val="20"/>
              </w:rPr>
              <w:t xml:space="preserve"> </w:t>
            </w:r>
            <w:r>
              <w:rPr>
                <w:rFonts w:ascii="Arial" w:hAnsi="Arial" w:cs="Arial"/>
                <w:sz w:val="20"/>
                <w:szCs w:val="20"/>
              </w:rPr>
              <w:t xml:space="preserve">de Saverne se caractérise par une part importante d’ouvrier et une part relativement faible de cadres. La proportion de foyers fiscaux non imposable est plus marquée que dans </w:t>
            </w:r>
            <w:proofErr w:type="gramStart"/>
            <w:r>
              <w:rPr>
                <w:rFonts w:ascii="Arial" w:hAnsi="Arial" w:cs="Arial"/>
                <w:sz w:val="20"/>
                <w:szCs w:val="20"/>
              </w:rPr>
              <w:t>les autres zone</w:t>
            </w:r>
            <w:proofErr w:type="gramEnd"/>
            <w:r>
              <w:rPr>
                <w:rFonts w:ascii="Arial" w:hAnsi="Arial" w:cs="Arial"/>
                <w:sz w:val="20"/>
                <w:szCs w:val="20"/>
              </w:rPr>
              <w:t xml:space="preserve"> de proximité du département. Pour autant, le taux de chômage de la zone est très faible. On constate par ailleurs un pourcentage de mères de moins de 20 ans assez important </w:t>
            </w:r>
            <w:proofErr w:type="spellStart"/>
            <w:r>
              <w:rPr>
                <w:rFonts w:ascii="Arial" w:hAnsi="Arial" w:cs="Arial"/>
                <w:sz w:val="20"/>
                <w:szCs w:val="20"/>
              </w:rPr>
              <w:t>comprartivement</w:t>
            </w:r>
            <w:proofErr w:type="spellEnd"/>
            <w:r>
              <w:rPr>
                <w:rFonts w:ascii="Arial" w:hAnsi="Arial" w:cs="Arial"/>
                <w:sz w:val="20"/>
                <w:szCs w:val="20"/>
              </w:rPr>
              <w:t xml:space="preserve"> à la moyenne départementale.</w:t>
            </w:r>
            <w:r w:rsidR="00EC469B">
              <w:rPr>
                <w:rFonts w:ascii="Arial" w:hAnsi="Arial" w:cs="Arial"/>
                <w:sz w:val="20"/>
                <w:szCs w:val="20"/>
              </w:rPr>
              <w:br/>
            </w:r>
          </w:p>
          <w:p w:rsidR="00D9224D" w:rsidRPr="00BA59FE" w:rsidRDefault="006C02CD" w:rsidP="009514E5">
            <w:pPr>
              <w:jc w:val="both"/>
              <w:rPr>
                <w:rFonts w:ascii="Arial" w:hAnsi="Arial" w:cs="Arial"/>
                <w:sz w:val="20"/>
                <w:szCs w:val="20"/>
              </w:rPr>
            </w:pPr>
            <w:r>
              <w:rPr>
                <w:rFonts w:ascii="Arial" w:hAnsi="Arial" w:cs="Arial"/>
                <w:sz w:val="20"/>
                <w:szCs w:val="20"/>
              </w:rPr>
              <w:t>Selon le DLS du Pays de Saverne Plaine et Plateau, l’indicateur de défaveur social (</w:t>
            </w:r>
            <w:proofErr w:type="spellStart"/>
            <w:r>
              <w:rPr>
                <w:rFonts w:ascii="Arial" w:hAnsi="Arial" w:cs="Arial"/>
                <w:sz w:val="20"/>
                <w:szCs w:val="20"/>
              </w:rPr>
              <w:t>fdep</w:t>
            </w:r>
            <w:proofErr w:type="spellEnd"/>
            <w:r>
              <w:rPr>
                <w:rFonts w:ascii="Arial" w:hAnsi="Arial" w:cs="Arial"/>
                <w:sz w:val="20"/>
                <w:szCs w:val="20"/>
              </w:rPr>
              <w:t xml:space="preserve">) met en </w:t>
            </w:r>
            <w:proofErr w:type="spellStart"/>
            <w:r>
              <w:rPr>
                <w:rFonts w:ascii="Arial" w:hAnsi="Arial" w:cs="Arial"/>
                <w:sz w:val="20"/>
                <w:szCs w:val="20"/>
              </w:rPr>
              <w:t>évidenc</w:t>
            </w:r>
            <w:proofErr w:type="spellEnd"/>
            <w:r>
              <w:rPr>
                <w:rFonts w:ascii="Arial" w:hAnsi="Arial" w:cs="Arial"/>
                <w:sz w:val="20"/>
                <w:szCs w:val="20"/>
              </w:rPr>
              <w:t xml:space="preserve"> des disparités socio-économique sur le territoire. </w:t>
            </w:r>
            <w:r w:rsidR="00EC469B">
              <w:rPr>
                <w:rFonts w:ascii="Arial" w:hAnsi="Arial" w:cs="Arial"/>
                <w:sz w:val="20"/>
                <w:szCs w:val="20"/>
              </w:rPr>
              <w:br/>
            </w:r>
            <w:r w:rsidR="00EC469B">
              <w:rPr>
                <w:rFonts w:ascii="Arial" w:hAnsi="Arial" w:cs="Arial"/>
                <w:sz w:val="20"/>
                <w:szCs w:val="20"/>
              </w:rPr>
              <w:br/>
            </w:r>
            <w:r>
              <w:rPr>
                <w:rFonts w:ascii="Arial" w:hAnsi="Arial" w:cs="Arial"/>
                <w:sz w:val="20"/>
                <w:szCs w:val="20"/>
              </w:rPr>
              <w:t>Au total, 45 communes ont un indice de défaveur social marqué avec une situation plus défavorable sur la Communauté de Communes d’Alsace Bossue.</w:t>
            </w:r>
          </w:p>
        </w:tc>
      </w:tr>
      <w:tr w:rsidR="00354DE9" w:rsidRPr="00354DE9" w:rsidTr="00EC469B">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7033" w:type="dxa"/>
            <w:gridSpan w:val="4"/>
            <w:vAlign w:val="center"/>
          </w:tcPr>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C469B">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703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D63763">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C469B">
        <w:trPr>
          <w:jc w:val="center"/>
        </w:trPr>
        <w:tc>
          <w:tcPr>
            <w:tcW w:w="2547" w:type="dxa"/>
            <w:shd w:val="clear" w:color="auto" w:fill="FFFFFF" w:themeFill="background1"/>
            <w:vAlign w:val="center"/>
          </w:tcPr>
          <w:p w:rsidR="005C6B90" w:rsidRPr="00354DE9" w:rsidRDefault="005C6B90" w:rsidP="00D63763">
            <w:pPr>
              <w:rPr>
                <w:rFonts w:ascii="Arial" w:hAnsi="Arial" w:cs="Arial"/>
                <w:b/>
                <w:sz w:val="20"/>
                <w:szCs w:val="20"/>
              </w:rPr>
            </w:pPr>
            <w:r>
              <w:rPr>
                <w:rFonts w:ascii="Arial" w:hAnsi="Arial" w:cs="Arial"/>
                <w:b/>
                <w:sz w:val="20"/>
                <w:szCs w:val="20"/>
              </w:rPr>
              <w:t xml:space="preserve">Objectif </w:t>
            </w:r>
            <w:proofErr w:type="gramStart"/>
            <w:r>
              <w:rPr>
                <w:rFonts w:ascii="Arial" w:hAnsi="Arial" w:cs="Arial"/>
                <w:b/>
                <w:sz w:val="20"/>
                <w:szCs w:val="20"/>
              </w:rPr>
              <w:t>général</w:t>
            </w:r>
            <w:proofErr w:type="gramEnd"/>
            <w:r w:rsidR="00D63763">
              <w:rPr>
                <w:rFonts w:ascii="Arial" w:hAnsi="Arial" w:cs="Arial"/>
                <w:b/>
                <w:sz w:val="20"/>
                <w:szCs w:val="20"/>
              </w:rPr>
              <w:br/>
            </w:r>
            <w:r w:rsidR="00454C16" w:rsidRPr="00454C16">
              <w:rPr>
                <w:rFonts w:ascii="Arial" w:hAnsi="Arial" w:cs="Arial"/>
                <w:i/>
                <w:color w:val="002060"/>
                <w:sz w:val="16"/>
                <w:szCs w:val="20"/>
              </w:rPr>
              <w:t>(si indiqué)</w:t>
            </w:r>
          </w:p>
        </w:tc>
        <w:tc>
          <w:tcPr>
            <w:tcW w:w="7033" w:type="dxa"/>
            <w:gridSpan w:val="4"/>
            <w:shd w:val="clear" w:color="auto" w:fill="auto"/>
            <w:vAlign w:val="center"/>
          </w:tcPr>
          <w:p w:rsidR="00807158" w:rsidRPr="00111338" w:rsidRDefault="00111338" w:rsidP="00FA2ABD">
            <w:pPr>
              <w:tabs>
                <w:tab w:val="left" w:pos="0"/>
              </w:tabs>
              <w:ind w:left="-16"/>
              <w:jc w:val="both"/>
              <w:rPr>
                <w:rFonts w:ascii="Arial" w:hAnsi="Arial" w:cs="Arial"/>
                <w:sz w:val="20"/>
                <w:szCs w:val="20"/>
              </w:rPr>
            </w:pPr>
            <w:r w:rsidRPr="008D18BF">
              <w:rPr>
                <w:rFonts w:ascii="Arial" w:hAnsi="Arial" w:cs="Arial"/>
                <w:sz w:val="20"/>
                <w:szCs w:val="20"/>
              </w:rPr>
              <w:t>Déploiement d’une offre d’ACT en milieu rural</w:t>
            </w:r>
          </w:p>
        </w:tc>
      </w:tr>
      <w:tr w:rsidR="00354DE9" w:rsidRPr="00354DE9" w:rsidTr="00EC469B">
        <w:trPr>
          <w:jc w:val="center"/>
        </w:trPr>
        <w:tc>
          <w:tcPr>
            <w:tcW w:w="2547" w:type="dxa"/>
            <w:shd w:val="clear" w:color="auto" w:fill="FFFFFF" w:themeFill="background1"/>
            <w:vAlign w:val="center"/>
          </w:tcPr>
          <w:p w:rsidR="009507D8" w:rsidRPr="00354DE9" w:rsidRDefault="009507D8" w:rsidP="00D63763">
            <w:pPr>
              <w:rPr>
                <w:rFonts w:ascii="Arial" w:hAnsi="Arial" w:cs="Arial"/>
                <w:b/>
                <w:sz w:val="20"/>
                <w:szCs w:val="20"/>
              </w:rPr>
            </w:pPr>
            <w:r w:rsidRPr="00354DE9">
              <w:rPr>
                <w:rFonts w:ascii="Arial" w:hAnsi="Arial" w:cs="Arial"/>
                <w:b/>
                <w:sz w:val="20"/>
                <w:szCs w:val="20"/>
              </w:rPr>
              <w:t xml:space="preserve">Objectifs </w:t>
            </w:r>
            <w:proofErr w:type="gramStart"/>
            <w:r w:rsidR="00354DE9" w:rsidRPr="00354DE9">
              <w:rPr>
                <w:rFonts w:ascii="Arial" w:hAnsi="Arial" w:cs="Arial"/>
                <w:b/>
                <w:sz w:val="20"/>
                <w:szCs w:val="20"/>
              </w:rPr>
              <w:t>spécifiques</w:t>
            </w:r>
            <w:proofErr w:type="gramEnd"/>
            <w:r w:rsidR="00D63763">
              <w:rPr>
                <w:rFonts w:ascii="Arial" w:hAnsi="Arial" w:cs="Arial"/>
                <w:b/>
                <w:sz w:val="20"/>
                <w:szCs w:val="20"/>
              </w:rPr>
              <w:br/>
            </w:r>
            <w:r w:rsidR="00454C16" w:rsidRPr="00454C16">
              <w:rPr>
                <w:rFonts w:ascii="Arial" w:hAnsi="Arial" w:cs="Arial"/>
                <w:i/>
                <w:color w:val="002060"/>
                <w:sz w:val="16"/>
                <w:szCs w:val="20"/>
              </w:rPr>
              <w:t>(si indiqué)</w:t>
            </w:r>
          </w:p>
        </w:tc>
        <w:tc>
          <w:tcPr>
            <w:tcW w:w="7033" w:type="dxa"/>
            <w:gridSpan w:val="4"/>
            <w:shd w:val="clear" w:color="auto" w:fill="auto"/>
            <w:vAlign w:val="center"/>
          </w:tcPr>
          <w:p w:rsidR="009507D8" w:rsidRPr="00F743EE" w:rsidRDefault="008D18BF" w:rsidP="00A84D22">
            <w:pPr>
              <w:rPr>
                <w:rFonts w:ascii="Helvetica" w:hAnsi="Helvetica" w:cs="Helvetica"/>
                <w:b/>
                <w:bCs/>
                <w:color w:val="000000"/>
                <w:sz w:val="20"/>
                <w:szCs w:val="20"/>
                <w:shd w:val="clear" w:color="auto" w:fill="FFFFFF"/>
              </w:rPr>
            </w:pPr>
            <w:r w:rsidRPr="008D18BF">
              <w:rPr>
                <w:rFonts w:ascii="Arial" w:hAnsi="Arial" w:cs="Arial"/>
                <w:sz w:val="20"/>
                <w:szCs w:val="20"/>
              </w:rPr>
              <w:t>Améliorer le repérage et la prise en charge des personnes éloignées de la santé</w:t>
            </w:r>
          </w:p>
        </w:tc>
      </w:tr>
      <w:tr w:rsidR="00354DE9" w:rsidRPr="00354DE9" w:rsidTr="00EC469B">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7033" w:type="dxa"/>
            <w:gridSpan w:val="4"/>
            <w:vAlign w:val="center"/>
          </w:tcPr>
          <w:p w:rsidR="00111338" w:rsidRDefault="00111338" w:rsidP="00111338">
            <w:pPr>
              <w:pStyle w:val="Paragraphedeliste"/>
              <w:numPr>
                <w:ilvl w:val="0"/>
                <w:numId w:val="14"/>
              </w:numPr>
              <w:tabs>
                <w:tab w:val="left" w:pos="409"/>
              </w:tabs>
              <w:ind w:left="409"/>
              <w:jc w:val="both"/>
              <w:rPr>
                <w:rFonts w:ascii="Arial" w:hAnsi="Arial" w:cs="Arial"/>
                <w:sz w:val="20"/>
                <w:szCs w:val="20"/>
              </w:rPr>
            </w:pPr>
            <w:r w:rsidRPr="00111338">
              <w:rPr>
                <w:rFonts w:ascii="Arial" w:hAnsi="Arial" w:cs="Arial"/>
                <w:sz w:val="20"/>
                <w:szCs w:val="20"/>
              </w:rPr>
              <w:t xml:space="preserve">La  mise en place d’un réseau territorial concernant la prise en compte des situations de précarité </w:t>
            </w:r>
            <w:r>
              <w:rPr>
                <w:rFonts w:ascii="Arial" w:hAnsi="Arial" w:cs="Arial"/>
                <w:sz w:val="20"/>
                <w:szCs w:val="20"/>
              </w:rPr>
              <w:t>et notamment les personnes souffrant de pathologie chronique</w:t>
            </w:r>
            <w:r w:rsidR="00EC469B">
              <w:rPr>
                <w:rFonts w:ascii="Arial" w:hAnsi="Arial" w:cs="Arial"/>
                <w:sz w:val="20"/>
                <w:szCs w:val="20"/>
              </w:rPr>
              <w:t> ;</w:t>
            </w:r>
          </w:p>
          <w:p w:rsidR="00EC469B" w:rsidRPr="00111338" w:rsidRDefault="00EC469B" w:rsidP="00EC469B">
            <w:pPr>
              <w:pStyle w:val="Paragraphedeliste"/>
              <w:tabs>
                <w:tab w:val="left" w:pos="409"/>
              </w:tabs>
              <w:ind w:left="409"/>
              <w:jc w:val="both"/>
              <w:rPr>
                <w:rFonts w:ascii="Arial" w:hAnsi="Arial" w:cs="Arial"/>
                <w:sz w:val="20"/>
                <w:szCs w:val="20"/>
              </w:rPr>
            </w:pPr>
          </w:p>
          <w:p w:rsidR="00A84D22" w:rsidRDefault="00111338" w:rsidP="00111338">
            <w:pPr>
              <w:pStyle w:val="Paragraphedeliste"/>
              <w:numPr>
                <w:ilvl w:val="0"/>
                <w:numId w:val="14"/>
              </w:numPr>
              <w:tabs>
                <w:tab w:val="left" w:pos="409"/>
              </w:tabs>
              <w:ind w:left="409"/>
              <w:jc w:val="both"/>
              <w:rPr>
                <w:rFonts w:ascii="Arial" w:hAnsi="Arial" w:cs="Arial"/>
                <w:sz w:val="20"/>
                <w:szCs w:val="20"/>
              </w:rPr>
            </w:pPr>
            <w:r>
              <w:rPr>
                <w:rFonts w:ascii="Arial" w:hAnsi="Arial" w:cs="Arial"/>
                <w:sz w:val="20"/>
                <w:szCs w:val="20"/>
              </w:rPr>
              <w:t>L</w:t>
            </w:r>
            <w:r w:rsidRPr="00111338">
              <w:rPr>
                <w:rFonts w:ascii="Arial" w:hAnsi="Arial" w:cs="Arial"/>
                <w:sz w:val="20"/>
                <w:szCs w:val="20"/>
              </w:rPr>
              <w:t>’information sur le territoire concernant la problématique précarité/santé/logement</w:t>
            </w:r>
            <w:r w:rsidR="00D63763">
              <w:rPr>
                <w:rFonts w:ascii="Arial" w:hAnsi="Arial" w:cs="Arial"/>
                <w:sz w:val="20"/>
                <w:szCs w:val="20"/>
              </w:rPr>
              <w:t>.</w:t>
            </w:r>
            <w:r w:rsidRPr="00111338">
              <w:rPr>
                <w:rFonts w:ascii="Arial" w:hAnsi="Arial" w:cs="Arial"/>
                <w:sz w:val="20"/>
                <w:szCs w:val="20"/>
              </w:rPr>
              <w:t xml:space="preserve"> </w:t>
            </w:r>
          </w:p>
          <w:p w:rsidR="00EC469B" w:rsidRPr="00111338" w:rsidRDefault="00EC469B" w:rsidP="00EC469B">
            <w:pPr>
              <w:pStyle w:val="Paragraphedeliste"/>
              <w:tabs>
                <w:tab w:val="left" w:pos="409"/>
              </w:tabs>
              <w:ind w:left="409"/>
              <w:jc w:val="both"/>
              <w:rPr>
                <w:rFonts w:ascii="Arial" w:hAnsi="Arial" w:cs="Arial"/>
                <w:sz w:val="20"/>
                <w:szCs w:val="20"/>
              </w:rPr>
            </w:pPr>
          </w:p>
        </w:tc>
      </w:tr>
      <w:tr w:rsidR="00354DE9" w:rsidRPr="00354DE9" w:rsidTr="00EC469B">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lastRenderedPageBreak/>
              <w:t>Etapes de mise en œuvre – Description</w:t>
            </w:r>
          </w:p>
        </w:tc>
        <w:tc>
          <w:tcPr>
            <w:tcW w:w="7033" w:type="dxa"/>
            <w:gridSpan w:val="4"/>
            <w:shd w:val="clear" w:color="auto" w:fill="auto"/>
            <w:vAlign w:val="center"/>
          </w:tcPr>
          <w:p w:rsidR="00891B15" w:rsidRPr="00D63763" w:rsidRDefault="00EC469B" w:rsidP="00EC469B">
            <w:pPr>
              <w:spacing w:line="253" w:lineRule="atLeast"/>
              <w:rPr>
                <w:rFonts w:ascii="Arial" w:hAnsi="Arial" w:cs="Arial"/>
                <w:b/>
                <w:sz w:val="20"/>
                <w:szCs w:val="20"/>
              </w:rPr>
            </w:pPr>
            <w:r w:rsidRPr="00D63763">
              <w:rPr>
                <w:rFonts w:ascii="Arial" w:hAnsi="Arial" w:cs="Arial"/>
                <w:b/>
                <w:sz w:val="20"/>
                <w:szCs w:val="20"/>
              </w:rPr>
              <w:t>1) M</w:t>
            </w:r>
            <w:r w:rsidR="00BE5962" w:rsidRPr="00D63763">
              <w:rPr>
                <w:rFonts w:ascii="Arial" w:hAnsi="Arial" w:cs="Arial"/>
                <w:b/>
                <w:sz w:val="20"/>
                <w:szCs w:val="20"/>
              </w:rPr>
              <w:t>ise en œuvre de</w:t>
            </w:r>
            <w:r w:rsidR="00891B15" w:rsidRPr="00D63763">
              <w:rPr>
                <w:rFonts w:ascii="Arial" w:hAnsi="Arial" w:cs="Arial"/>
                <w:b/>
                <w:sz w:val="20"/>
                <w:szCs w:val="20"/>
              </w:rPr>
              <w:t xml:space="preserve"> places </w:t>
            </w:r>
            <w:r w:rsidR="00BE5962" w:rsidRPr="00D63763">
              <w:rPr>
                <w:rFonts w:ascii="Arial" w:hAnsi="Arial" w:cs="Arial"/>
                <w:b/>
                <w:sz w:val="20"/>
                <w:szCs w:val="20"/>
              </w:rPr>
              <w:t>d’expérimentation</w:t>
            </w:r>
            <w:r w:rsidRPr="00D63763">
              <w:rPr>
                <w:rFonts w:ascii="Arial" w:hAnsi="Arial" w:cs="Arial"/>
                <w:b/>
                <w:sz w:val="20"/>
                <w:szCs w:val="20"/>
              </w:rPr>
              <w:t xml:space="preserve"> </w:t>
            </w:r>
            <w:r w:rsidR="00891B15" w:rsidRPr="00D63763">
              <w:rPr>
                <w:rFonts w:ascii="Arial" w:hAnsi="Arial" w:cs="Arial"/>
                <w:b/>
                <w:sz w:val="20"/>
                <w:szCs w:val="20"/>
              </w:rPr>
              <w:t>d’accompagnement</w:t>
            </w:r>
            <w:r w:rsidR="008D18BF" w:rsidRPr="00D63763">
              <w:rPr>
                <w:rFonts w:ascii="Arial" w:hAnsi="Arial" w:cs="Arial"/>
                <w:b/>
                <w:sz w:val="20"/>
                <w:szCs w:val="20"/>
              </w:rPr>
              <w:t xml:space="preserve"> à </w:t>
            </w:r>
            <w:r w:rsidRPr="00D63763">
              <w:rPr>
                <w:rFonts w:ascii="Arial" w:hAnsi="Arial" w:cs="Arial"/>
                <w:b/>
                <w:sz w:val="20"/>
                <w:szCs w:val="20"/>
              </w:rPr>
              <w:br/>
              <w:t xml:space="preserve">    </w:t>
            </w:r>
            <w:r w:rsidR="008D18BF" w:rsidRPr="00D63763">
              <w:rPr>
                <w:rFonts w:ascii="Arial" w:hAnsi="Arial" w:cs="Arial"/>
                <w:b/>
                <w:sz w:val="20"/>
                <w:szCs w:val="20"/>
              </w:rPr>
              <w:t>domicile :</w:t>
            </w:r>
          </w:p>
          <w:p w:rsidR="008D18BF" w:rsidRPr="00D63763" w:rsidRDefault="008D18BF" w:rsidP="00891B15">
            <w:pPr>
              <w:spacing w:line="253" w:lineRule="atLeast"/>
              <w:jc w:val="both"/>
              <w:rPr>
                <w:rFonts w:ascii="Arial" w:hAnsi="Arial" w:cs="Arial"/>
                <w:sz w:val="12"/>
                <w:szCs w:val="20"/>
              </w:rPr>
            </w:pPr>
          </w:p>
          <w:p w:rsidR="00891B15" w:rsidRPr="00D63763" w:rsidRDefault="008D18BF" w:rsidP="00891B15">
            <w:pPr>
              <w:spacing w:line="253" w:lineRule="atLeast"/>
              <w:jc w:val="both"/>
              <w:rPr>
                <w:rFonts w:ascii="Arial" w:hAnsi="Arial" w:cs="Arial"/>
                <w:sz w:val="20"/>
                <w:szCs w:val="20"/>
              </w:rPr>
            </w:pPr>
            <w:r w:rsidRPr="00D63763">
              <w:rPr>
                <w:rFonts w:ascii="Arial" w:hAnsi="Arial" w:cs="Arial"/>
                <w:sz w:val="20"/>
                <w:szCs w:val="20"/>
              </w:rPr>
              <w:t xml:space="preserve">Proposition d’un </w:t>
            </w:r>
            <w:r w:rsidR="00891B15" w:rsidRPr="00D63763">
              <w:rPr>
                <w:rFonts w:ascii="Arial" w:hAnsi="Arial" w:cs="Arial"/>
                <w:sz w:val="20"/>
                <w:szCs w:val="20"/>
              </w:rPr>
              <w:t>accompagnement global de proximité via des visites à domicile à travers :</w:t>
            </w:r>
          </w:p>
          <w:p w:rsidR="00D63763" w:rsidRPr="00D63763" w:rsidRDefault="00D63763" w:rsidP="00891B15">
            <w:pPr>
              <w:spacing w:line="253" w:lineRule="atLeast"/>
              <w:jc w:val="both"/>
              <w:rPr>
                <w:rFonts w:ascii="Arial" w:hAnsi="Arial" w:cs="Arial"/>
                <w:sz w:val="16"/>
                <w:szCs w:val="20"/>
              </w:rPr>
            </w:pPr>
          </w:p>
          <w:p w:rsidR="00891B15" w:rsidRPr="00D63763" w:rsidRDefault="00891B15" w:rsidP="00891B15">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La régularisation des droits, des prestations indispensables</w:t>
            </w:r>
            <w:r w:rsidR="00D63763" w:rsidRPr="00D63763">
              <w:rPr>
                <w:rFonts w:ascii="Arial" w:hAnsi="Arial" w:cs="Arial"/>
                <w:sz w:val="20"/>
                <w:szCs w:val="20"/>
              </w:rPr>
              <w:t> ;</w:t>
            </w:r>
          </w:p>
          <w:p w:rsidR="00891B15" w:rsidRPr="00D63763" w:rsidRDefault="00891B15" w:rsidP="00891B15">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L’organisation de l’accès aux soins et la coordination médicale</w:t>
            </w:r>
            <w:r w:rsidR="00D63763" w:rsidRPr="00D63763">
              <w:rPr>
                <w:rFonts w:ascii="Arial" w:hAnsi="Arial" w:cs="Arial"/>
                <w:sz w:val="20"/>
                <w:szCs w:val="20"/>
              </w:rPr>
              <w:t> ;</w:t>
            </w:r>
          </w:p>
          <w:p w:rsidR="00891B15" w:rsidRPr="00D63763" w:rsidRDefault="00891B15" w:rsidP="00891B15">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L’entretien du logement et la gestion des besoins de première nécessité</w:t>
            </w:r>
            <w:r w:rsidR="00D63763" w:rsidRPr="00D63763">
              <w:rPr>
                <w:rFonts w:ascii="Arial" w:hAnsi="Arial" w:cs="Arial"/>
                <w:sz w:val="20"/>
                <w:szCs w:val="20"/>
              </w:rPr>
              <w:t> ;</w:t>
            </w:r>
          </w:p>
          <w:p w:rsidR="00891B15" w:rsidRPr="00D63763" w:rsidRDefault="00891B15" w:rsidP="00891B15">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Le développement du lien social de proximité afin de créer des conditions de maintien et d’épanouissement stables dans l’habitat</w:t>
            </w:r>
            <w:r w:rsidR="00D63763" w:rsidRPr="00D63763">
              <w:rPr>
                <w:rFonts w:ascii="Arial" w:hAnsi="Arial" w:cs="Arial"/>
                <w:sz w:val="20"/>
                <w:szCs w:val="20"/>
              </w:rPr>
              <w:t>.</w:t>
            </w:r>
          </w:p>
          <w:p w:rsidR="00891B15" w:rsidRPr="00D63763" w:rsidRDefault="00891B15" w:rsidP="00891B15">
            <w:pPr>
              <w:spacing w:line="253" w:lineRule="atLeast"/>
              <w:jc w:val="both"/>
              <w:rPr>
                <w:rFonts w:ascii="Arial" w:hAnsi="Arial" w:cs="Arial"/>
                <w:sz w:val="14"/>
                <w:szCs w:val="20"/>
              </w:rPr>
            </w:pPr>
          </w:p>
          <w:p w:rsidR="008D18BF" w:rsidRPr="00D63763" w:rsidRDefault="008D18BF" w:rsidP="008D18BF">
            <w:pPr>
              <w:spacing w:line="253" w:lineRule="atLeast"/>
              <w:jc w:val="both"/>
              <w:rPr>
                <w:rFonts w:ascii="Arial" w:hAnsi="Arial" w:cs="Arial"/>
                <w:sz w:val="20"/>
                <w:szCs w:val="20"/>
              </w:rPr>
            </w:pPr>
            <w:r w:rsidRPr="00D63763">
              <w:rPr>
                <w:rFonts w:ascii="Arial" w:hAnsi="Arial" w:cs="Arial"/>
                <w:sz w:val="20"/>
                <w:szCs w:val="20"/>
              </w:rPr>
              <w:t>Différentes étapes dans l’étude, puis l’accompagnement des bénéficiaires (étude administrative du dossier, entretien Préalable, commission d’admission, l’admission, l’accueil, point médico-social et partenarial, préparation du projet personnalisé, mise en place de l’accompagnement).</w:t>
            </w:r>
          </w:p>
          <w:p w:rsidR="008D18BF" w:rsidRPr="00D63763" w:rsidRDefault="008D18BF" w:rsidP="008D18BF">
            <w:pPr>
              <w:spacing w:line="253" w:lineRule="atLeast"/>
              <w:jc w:val="both"/>
              <w:rPr>
                <w:rFonts w:ascii="Arial" w:hAnsi="Arial" w:cs="Arial"/>
                <w:sz w:val="20"/>
                <w:szCs w:val="20"/>
              </w:rPr>
            </w:pPr>
          </w:p>
          <w:p w:rsidR="008D18BF" w:rsidRPr="00D63763" w:rsidRDefault="008D18BF" w:rsidP="008D18BF">
            <w:pPr>
              <w:spacing w:line="253" w:lineRule="atLeast"/>
              <w:jc w:val="both"/>
              <w:rPr>
                <w:rFonts w:ascii="Arial" w:hAnsi="Arial" w:cs="Arial"/>
                <w:sz w:val="20"/>
                <w:szCs w:val="20"/>
              </w:rPr>
            </w:pPr>
            <w:r w:rsidRPr="00D63763">
              <w:rPr>
                <w:rFonts w:ascii="Arial" w:hAnsi="Arial" w:cs="Arial"/>
                <w:sz w:val="20"/>
                <w:szCs w:val="20"/>
              </w:rPr>
              <w:t>Mise en place d’une coordination pluridisciplinaire autour de :</w:t>
            </w:r>
          </w:p>
          <w:p w:rsidR="008D18BF" w:rsidRPr="00D63763" w:rsidRDefault="008D18BF" w:rsidP="008D18BF">
            <w:pPr>
              <w:spacing w:line="253" w:lineRule="atLeast"/>
              <w:jc w:val="both"/>
              <w:rPr>
                <w:rFonts w:ascii="Arial" w:hAnsi="Arial" w:cs="Arial"/>
                <w:sz w:val="16"/>
                <w:szCs w:val="20"/>
              </w:rPr>
            </w:pPr>
          </w:p>
          <w:p w:rsidR="008D18BF" w:rsidRPr="00D63763" w:rsidRDefault="008D18BF" w:rsidP="008D18BF">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La coordination médicale (lien avec le réseau de soin, prise de rendez et accompagnement physique, observance…)</w:t>
            </w:r>
            <w:r w:rsidR="00D63763" w:rsidRPr="00D63763">
              <w:rPr>
                <w:rFonts w:ascii="Arial" w:hAnsi="Arial" w:cs="Arial"/>
                <w:sz w:val="20"/>
                <w:szCs w:val="20"/>
              </w:rPr>
              <w:t> ;</w:t>
            </w:r>
          </w:p>
          <w:p w:rsidR="008D18BF" w:rsidRPr="00D63763" w:rsidRDefault="008D18BF" w:rsidP="008D18BF">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L’ouverture ou la restauration des droits sociaux</w:t>
            </w:r>
            <w:r w:rsidR="00D63763" w:rsidRPr="00D63763">
              <w:rPr>
                <w:rFonts w:ascii="Arial" w:hAnsi="Arial" w:cs="Arial"/>
                <w:sz w:val="20"/>
                <w:szCs w:val="20"/>
              </w:rPr>
              <w:t> ;</w:t>
            </w:r>
            <w:r w:rsidRPr="00D63763">
              <w:rPr>
                <w:rFonts w:ascii="Arial" w:hAnsi="Arial" w:cs="Arial"/>
                <w:sz w:val="20"/>
                <w:szCs w:val="20"/>
              </w:rPr>
              <w:t xml:space="preserve"> </w:t>
            </w:r>
          </w:p>
          <w:p w:rsidR="008D18BF" w:rsidRPr="00D63763" w:rsidRDefault="008D18BF" w:rsidP="008D18BF">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La gestion de la vie quotidienne (aide à domicile, portage des repas,…)</w:t>
            </w:r>
          </w:p>
          <w:p w:rsidR="008D18BF" w:rsidRPr="00D63763" w:rsidRDefault="008D18BF" w:rsidP="008D18BF">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L’éducation thérapeutique</w:t>
            </w:r>
            <w:r w:rsidR="00D63763" w:rsidRPr="00D63763">
              <w:rPr>
                <w:rFonts w:ascii="Arial" w:hAnsi="Arial" w:cs="Arial"/>
                <w:sz w:val="20"/>
                <w:szCs w:val="20"/>
              </w:rPr>
              <w:t> ;</w:t>
            </w:r>
          </w:p>
          <w:p w:rsidR="008D18BF" w:rsidRPr="00D63763" w:rsidRDefault="008D18BF" w:rsidP="008D18BF">
            <w:pPr>
              <w:spacing w:line="253" w:lineRule="atLeast"/>
              <w:jc w:val="both"/>
              <w:rPr>
                <w:rFonts w:ascii="Arial" w:hAnsi="Arial" w:cs="Arial"/>
                <w:sz w:val="20"/>
                <w:szCs w:val="20"/>
              </w:rPr>
            </w:pPr>
            <w:r w:rsidRPr="00D63763">
              <w:rPr>
                <w:rFonts w:ascii="Arial" w:hAnsi="Arial" w:cs="Arial"/>
                <w:sz w:val="20"/>
                <w:szCs w:val="20"/>
              </w:rPr>
              <w:t>Les interventions auront lieu à domicile, dans les bureaux de GALA, par téléphone ou lors d’accompagnement extérieur.</w:t>
            </w:r>
          </w:p>
          <w:p w:rsidR="008D18BF" w:rsidRPr="00D63763" w:rsidRDefault="008D18BF" w:rsidP="008D18BF">
            <w:pPr>
              <w:spacing w:line="253" w:lineRule="atLeast"/>
              <w:jc w:val="both"/>
              <w:rPr>
                <w:rFonts w:ascii="Arial" w:hAnsi="Arial" w:cs="Arial"/>
                <w:sz w:val="20"/>
                <w:szCs w:val="20"/>
              </w:rPr>
            </w:pPr>
            <w:r w:rsidRPr="00D63763">
              <w:rPr>
                <w:rFonts w:ascii="Arial" w:hAnsi="Arial" w:cs="Arial"/>
                <w:sz w:val="20"/>
                <w:szCs w:val="20"/>
              </w:rPr>
              <w:t>En outre, les usagers pourront bénéficier des activités collectives culturelles et de loisirs déjà organisées par le service pour les résidents des ACT.</w:t>
            </w:r>
          </w:p>
          <w:p w:rsidR="008D18BF" w:rsidRPr="00D63763" w:rsidRDefault="008D18BF" w:rsidP="008D18BF">
            <w:pPr>
              <w:spacing w:line="253" w:lineRule="atLeast"/>
              <w:jc w:val="both"/>
              <w:rPr>
                <w:rFonts w:ascii="Arial" w:hAnsi="Arial" w:cs="Arial"/>
                <w:sz w:val="20"/>
                <w:szCs w:val="20"/>
              </w:rPr>
            </w:pPr>
          </w:p>
          <w:p w:rsidR="00891B15" w:rsidRPr="00D63763" w:rsidRDefault="008D18BF" w:rsidP="00891B15">
            <w:pPr>
              <w:spacing w:line="253" w:lineRule="atLeast"/>
              <w:jc w:val="both"/>
              <w:rPr>
                <w:rFonts w:ascii="Arial" w:hAnsi="Arial" w:cs="Arial"/>
                <w:sz w:val="20"/>
                <w:szCs w:val="20"/>
              </w:rPr>
            </w:pPr>
            <w:r w:rsidRPr="00D63763">
              <w:rPr>
                <w:rFonts w:ascii="Arial" w:hAnsi="Arial" w:cs="Arial"/>
                <w:sz w:val="20"/>
                <w:szCs w:val="20"/>
              </w:rPr>
              <w:t>A</w:t>
            </w:r>
            <w:r w:rsidR="00891B15" w:rsidRPr="00D63763">
              <w:rPr>
                <w:rFonts w:ascii="Arial" w:hAnsi="Arial" w:cs="Arial"/>
                <w:sz w:val="20"/>
                <w:szCs w:val="20"/>
              </w:rPr>
              <w:t>u vu du secteur d’intervention rural et le fait que les lieux d’habitation peuvent se situer sur des secteurs actuellement non couverts et éloignés des bureaux des ACT généralistes (parc immobilier des ACT de Strasbourg pensé sur une logique de proximité), un minimum d’une visite à domicile par quinzaine sera assuré et adapté en fonction de chaque situation, en plus des entretiens aux bureaux possibles et des contacts téléphoniques.</w:t>
            </w:r>
          </w:p>
          <w:p w:rsidR="008D18BF" w:rsidRPr="00D63763" w:rsidRDefault="008D18BF" w:rsidP="00891B15">
            <w:pPr>
              <w:spacing w:line="253" w:lineRule="atLeast"/>
              <w:jc w:val="both"/>
              <w:rPr>
                <w:rFonts w:ascii="Arial" w:hAnsi="Arial" w:cs="Arial"/>
                <w:sz w:val="20"/>
                <w:szCs w:val="20"/>
              </w:rPr>
            </w:pPr>
          </w:p>
          <w:p w:rsidR="008D18BF" w:rsidRPr="00D63763" w:rsidRDefault="00EC469B" w:rsidP="00EC469B">
            <w:pPr>
              <w:spacing w:line="253" w:lineRule="atLeast"/>
              <w:rPr>
                <w:rFonts w:ascii="Arial" w:hAnsi="Arial" w:cs="Arial"/>
                <w:b/>
                <w:sz w:val="20"/>
                <w:szCs w:val="20"/>
              </w:rPr>
            </w:pPr>
            <w:r w:rsidRPr="00D63763">
              <w:rPr>
                <w:rFonts w:ascii="Arial" w:hAnsi="Arial" w:cs="Arial"/>
                <w:b/>
                <w:sz w:val="20"/>
                <w:szCs w:val="20"/>
              </w:rPr>
              <w:t>2) M</w:t>
            </w:r>
            <w:r w:rsidR="008D18BF" w:rsidRPr="00D63763">
              <w:rPr>
                <w:rFonts w:ascii="Arial" w:hAnsi="Arial" w:cs="Arial"/>
                <w:b/>
                <w:sz w:val="20"/>
                <w:szCs w:val="20"/>
              </w:rPr>
              <w:t>utualisation de locaux en lien avec des partenaires locaux</w:t>
            </w:r>
            <w:r w:rsidRPr="00D63763">
              <w:rPr>
                <w:rFonts w:ascii="Arial" w:hAnsi="Arial" w:cs="Arial"/>
                <w:b/>
                <w:sz w:val="20"/>
                <w:szCs w:val="20"/>
              </w:rPr>
              <w:t>.</w:t>
            </w:r>
            <w:r w:rsidR="008D18BF" w:rsidRPr="00D63763">
              <w:rPr>
                <w:rFonts w:ascii="Arial" w:hAnsi="Arial" w:cs="Arial"/>
                <w:b/>
                <w:sz w:val="20"/>
                <w:szCs w:val="20"/>
              </w:rPr>
              <w:t xml:space="preserve"> </w:t>
            </w:r>
          </w:p>
          <w:p w:rsidR="00EC469B" w:rsidRPr="00D63763" w:rsidRDefault="00EC469B" w:rsidP="00EC469B">
            <w:pPr>
              <w:pStyle w:val="Paragraphedeliste"/>
              <w:spacing w:line="253" w:lineRule="atLeast"/>
              <w:rPr>
                <w:rFonts w:ascii="Arial" w:hAnsi="Arial" w:cs="Arial"/>
                <w:b/>
                <w:sz w:val="20"/>
                <w:szCs w:val="20"/>
              </w:rPr>
            </w:pPr>
          </w:p>
          <w:p w:rsidR="00891B15" w:rsidRPr="00D63763" w:rsidRDefault="008D18BF" w:rsidP="00891B15">
            <w:pPr>
              <w:spacing w:line="253" w:lineRule="atLeast"/>
              <w:jc w:val="both"/>
              <w:rPr>
                <w:rFonts w:ascii="Arial" w:hAnsi="Arial" w:cs="Arial"/>
                <w:sz w:val="20"/>
                <w:szCs w:val="20"/>
              </w:rPr>
            </w:pPr>
            <w:r w:rsidRPr="00D63763">
              <w:rPr>
                <w:rFonts w:ascii="Arial" w:hAnsi="Arial" w:cs="Arial"/>
                <w:sz w:val="20"/>
                <w:szCs w:val="20"/>
              </w:rPr>
              <w:t xml:space="preserve">Afin d’optimiser au maximum nos déplacements tout en sécurisant et en garantissant la qualité de la prise en charge, GALA s’appuiera sur son  antenne de Saverne </w:t>
            </w:r>
            <w:r w:rsidR="00891B15" w:rsidRPr="00D63763">
              <w:rPr>
                <w:rFonts w:ascii="Arial" w:hAnsi="Arial" w:cs="Arial"/>
                <w:sz w:val="20"/>
                <w:szCs w:val="20"/>
              </w:rPr>
              <w:t>et</w:t>
            </w:r>
            <w:r w:rsidRPr="00D63763">
              <w:rPr>
                <w:rFonts w:ascii="Arial" w:hAnsi="Arial" w:cs="Arial"/>
                <w:sz w:val="20"/>
                <w:szCs w:val="20"/>
              </w:rPr>
              <w:t xml:space="preserve"> sur la recherche de </w:t>
            </w:r>
            <w:r w:rsidR="00891B15" w:rsidRPr="00D63763">
              <w:rPr>
                <w:rFonts w:ascii="Arial" w:hAnsi="Arial" w:cs="Arial"/>
                <w:sz w:val="20"/>
                <w:szCs w:val="20"/>
              </w:rPr>
              <w:t xml:space="preserve">mutualisation </w:t>
            </w:r>
            <w:r w:rsidRPr="00D63763">
              <w:rPr>
                <w:rFonts w:ascii="Arial" w:hAnsi="Arial" w:cs="Arial"/>
                <w:sz w:val="20"/>
                <w:szCs w:val="20"/>
              </w:rPr>
              <w:t xml:space="preserve">de locaux des </w:t>
            </w:r>
            <w:r w:rsidR="00891B15" w:rsidRPr="00D63763">
              <w:rPr>
                <w:rFonts w:ascii="Arial" w:hAnsi="Arial" w:cs="Arial"/>
                <w:sz w:val="20"/>
                <w:szCs w:val="20"/>
              </w:rPr>
              <w:t>partenaires de proximité (mairies, UTAMS, CCAS, autres établissements de l’ARSEA) dans certains villages</w:t>
            </w:r>
            <w:r w:rsidRPr="00D63763">
              <w:rPr>
                <w:rFonts w:ascii="Arial" w:hAnsi="Arial" w:cs="Arial"/>
                <w:sz w:val="20"/>
                <w:szCs w:val="20"/>
              </w:rPr>
              <w:t xml:space="preserve"> (comme pour les autres services à GALA).</w:t>
            </w:r>
            <w:r w:rsidR="00891B15" w:rsidRPr="00D63763">
              <w:rPr>
                <w:rFonts w:ascii="Arial" w:hAnsi="Arial" w:cs="Arial"/>
                <w:sz w:val="20"/>
                <w:szCs w:val="20"/>
              </w:rPr>
              <w:t xml:space="preserve"> </w:t>
            </w:r>
          </w:p>
          <w:p w:rsidR="00891B15" w:rsidRPr="00D63763" w:rsidRDefault="00891B15" w:rsidP="00891B15">
            <w:pPr>
              <w:spacing w:line="253" w:lineRule="atLeast"/>
              <w:jc w:val="both"/>
              <w:rPr>
                <w:rFonts w:ascii="Arial" w:hAnsi="Arial" w:cs="Arial"/>
                <w:sz w:val="20"/>
                <w:szCs w:val="20"/>
              </w:rPr>
            </w:pPr>
          </w:p>
          <w:p w:rsidR="00891B15" w:rsidRPr="00D63763" w:rsidRDefault="00BE5962" w:rsidP="00891B15">
            <w:pPr>
              <w:spacing w:line="253" w:lineRule="atLeast"/>
              <w:jc w:val="both"/>
              <w:rPr>
                <w:rFonts w:ascii="Arial" w:hAnsi="Arial" w:cs="Arial"/>
                <w:sz w:val="20"/>
                <w:szCs w:val="20"/>
              </w:rPr>
            </w:pPr>
            <w:r w:rsidRPr="00D63763">
              <w:rPr>
                <w:rFonts w:ascii="Arial" w:hAnsi="Arial" w:cs="Arial"/>
                <w:sz w:val="20"/>
                <w:szCs w:val="20"/>
              </w:rPr>
              <w:t>N</w:t>
            </w:r>
            <w:r w:rsidR="00891B15" w:rsidRPr="00D63763">
              <w:rPr>
                <w:rFonts w:ascii="Arial" w:hAnsi="Arial" w:cs="Arial"/>
                <w:sz w:val="20"/>
                <w:szCs w:val="20"/>
              </w:rPr>
              <w:t>ous proposerons différentes étapes dans l’étude, puis l’accompagnement des bénéficiaires (étude administrative du dossier, entretien Préalable, commission d’admission, l’admission, l’accueil, point médico-social et partenarial, préparation du projet personnalisé, mise en place de l’accompagnement).</w:t>
            </w:r>
          </w:p>
          <w:p w:rsidR="00891B15" w:rsidRPr="00D63763" w:rsidRDefault="00891B15" w:rsidP="00891B15">
            <w:pPr>
              <w:spacing w:line="253" w:lineRule="atLeast"/>
              <w:jc w:val="both"/>
              <w:rPr>
                <w:rFonts w:ascii="Arial" w:hAnsi="Arial" w:cs="Arial"/>
                <w:sz w:val="18"/>
                <w:szCs w:val="20"/>
              </w:rPr>
            </w:pPr>
          </w:p>
          <w:p w:rsidR="00891B15" w:rsidRPr="00D63763" w:rsidRDefault="00891B15" w:rsidP="00891B15">
            <w:pPr>
              <w:spacing w:line="253" w:lineRule="atLeast"/>
              <w:jc w:val="both"/>
              <w:rPr>
                <w:rFonts w:ascii="Arial" w:hAnsi="Arial" w:cs="Arial"/>
                <w:sz w:val="20"/>
                <w:szCs w:val="20"/>
              </w:rPr>
            </w:pPr>
            <w:r w:rsidRPr="00D63763">
              <w:rPr>
                <w:rFonts w:ascii="Arial" w:hAnsi="Arial" w:cs="Arial"/>
                <w:sz w:val="20"/>
                <w:szCs w:val="20"/>
              </w:rPr>
              <w:t>La coordination pluridisciplinaire se mettre en place autour de :</w:t>
            </w:r>
          </w:p>
          <w:p w:rsidR="00891B15" w:rsidRPr="00D63763" w:rsidRDefault="00891B15" w:rsidP="00891B15">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La coordination médicale (lien avec le réseau de soin, prise de rendez et accompagnement physique, observance…)</w:t>
            </w:r>
          </w:p>
          <w:p w:rsidR="00891B15" w:rsidRPr="00D63763" w:rsidRDefault="00891B15" w:rsidP="00891B15">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 xml:space="preserve">L’ouverture ou la restauration des droits sociaux </w:t>
            </w:r>
          </w:p>
          <w:p w:rsidR="00891B15" w:rsidRPr="00D63763" w:rsidRDefault="00891B15" w:rsidP="00891B15">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La gestion de la vie quotidienne (aide à domicile, portage des repas, …)</w:t>
            </w:r>
          </w:p>
          <w:p w:rsidR="00891B15" w:rsidRPr="00D63763" w:rsidRDefault="00891B15" w:rsidP="00891B15">
            <w:pPr>
              <w:pStyle w:val="Paragraphedeliste"/>
              <w:numPr>
                <w:ilvl w:val="0"/>
                <w:numId w:val="5"/>
              </w:numPr>
              <w:spacing w:line="253" w:lineRule="atLeast"/>
              <w:ind w:left="409" w:hanging="284"/>
              <w:jc w:val="both"/>
              <w:rPr>
                <w:rFonts w:ascii="Arial" w:hAnsi="Arial" w:cs="Arial"/>
                <w:sz w:val="20"/>
                <w:szCs w:val="20"/>
              </w:rPr>
            </w:pPr>
            <w:r w:rsidRPr="00D63763">
              <w:rPr>
                <w:rFonts w:ascii="Arial" w:hAnsi="Arial" w:cs="Arial"/>
                <w:sz w:val="20"/>
                <w:szCs w:val="20"/>
              </w:rPr>
              <w:t xml:space="preserve">L’éducation thérapeutique </w:t>
            </w:r>
          </w:p>
          <w:p w:rsidR="00891B15" w:rsidRPr="00D63763" w:rsidRDefault="00891B15" w:rsidP="00891B15">
            <w:pPr>
              <w:spacing w:line="253" w:lineRule="atLeast"/>
              <w:jc w:val="both"/>
              <w:rPr>
                <w:rFonts w:ascii="Arial" w:hAnsi="Arial" w:cs="Arial"/>
                <w:sz w:val="20"/>
                <w:szCs w:val="20"/>
              </w:rPr>
            </w:pPr>
            <w:r w:rsidRPr="00D63763">
              <w:rPr>
                <w:rFonts w:ascii="Arial" w:hAnsi="Arial" w:cs="Arial"/>
                <w:sz w:val="20"/>
                <w:szCs w:val="20"/>
              </w:rPr>
              <w:lastRenderedPageBreak/>
              <w:t>Les interventions auront lieu à domicile, dans les bureaux de GALA, par téléphone ou lors d’accompagnement extérieur.</w:t>
            </w:r>
          </w:p>
          <w:p w:rsidR="00452022" w:rsidRPr="00D63763" w:rsidRDefault="00452022" w:rsidP="00891B15">
            <w:pPr>
              <w:spacing w:line="253" w:lineRule="atLeast"/>
              <w:jc w:val="both"/>
              <w:rPr>
                <w:rFonts w:ascii="Arial" w:hAnsi="Arial" w:cs="Arial"/>
                <w:sz w:val="20"/>
                <w:szCs w:val="20"/>
              </w:rPr>
            </w:pPr>
            <w:r w:rsidRPr="00D63763">
              <w:rPr>
                <w:rFonts w:ascii="Arial" w:hAnsi="Arial" w:cs="Arial"/>
                <w:sz w:val="20"/>
                <w:szCs w:val="20"/>
              </w:rPr>
              <w:t>En outre, les usagers pourront bénéficier des activités collectives culturelles et de loisirs déjà organisées par le service pour les résidents des ACT.</w:t>
            </w:r>
          </w:p>
          <w:p w:rsidR="00452022" w:rsidRPr="00D63763" w:rsidRDefault="00452022" w:rsidP="00891B15">
            <w:pPr>
              <w:spacing w:line="253" w:lineRule="atLeast"/>
              <w:jc w:val="both"/>
              <w:rPr>
                <w:rFonts w:ascii="Arial" w:hAnsi="Arial" w:cs="Arial"/>
                <w:b/>
                <w:sz w:val="20"/>
                <w:szCs w:val="20"/>
              </w:rPr>
            </w:pPr>
          </w:p>
          <w:p w:rsidR="00466A81" w:rsidRPr="00D63763" w:rsidRDefault="00466A81" w:rsidP="00466A81">
            <w:pPr>
              <w:pStyle w:val="Paragraphedeliste"/>
              <w:numPr>
                <w:ilvl w:val="0"/>
                <w:numId w:val="17"/>
              </w:numPr>
              <w:spacing w:line="253" w:lineRule="atLeast"/>
              <w:jc w:val="both"/>
              <w:rPr>
                <w:rFonts w:ascii="Arial" w:hAnsi="Arial" w:cs="Arial"/>
                <w:b/>
                <w:sz w:val="20"/>
                <w:szCs w:val="20"/>
              </w:rPr>
            </w:pPr>
            <w:r w:rsidRPr="00D63763">
              <w:rPr>
                <w:rFonts w:ascii="Arial" w:hAnsi="Arial" w:cs="Arial"/>
                <w:b/>
                <w:sz w:val="20"/>
                <w:szCs w:val="20"/>
              </w:rPr>
              <w:t>Coordination d’un réseau local de professionnels en vue de la stabilisation de la personne</w:t>
            </w:r>
          </w:p>
          <w:p w:rsidR="00466A81" w:rsidRPr="00D63763" w:rsidRDefault="00466A81" w:rsidP="00891B15">
            <w:pPr>
              <w:spacing w:line="253" w:lineRule="atLeast"/>
              <w:jc w:val="both"/>
              <w:rPr>
                <w:rFonts w:ascii="Arial" w:hAnsi="Arial" w:cs="Arial"/>
                <w:sz w:val="20"/>
                <w:szCs w:val="20"/>
              </w:rPr>
            </w:pPr>
          </w:p>
          <w:p w:rsidR="00891B15" w:rsidRPr="00D63763" w:rsidRDefault="00466A81" w:rsidP="00891B15">
            <w:pPr>
              <w:spacing w:line="253" w:lineRule="atLeast"/>
              <w:jc w:val="both"/>
              <w:rPr>
                <w:rFonts w:ascii="Arial" w:hAnsi="Arial" w:cs="Arial"/>
                <w:sz w:val="20"/>
                <w:szCs w:val="20"/>
              </w:rPr>
            </w:pPr>
            <w:r w:rsidRPr="00D63763">
              <w:rPr>
                <w:rFonts w:ascii="Arial" w:hAnsi="Arial" w:cs="Arial"/>
                <w:sz w:val="20"/>
                <w:szCs w:val="20"/>
              </w:rPr>
              <w:t>L’</w:t>
            </w:r>
            <w:r w:rsidR="00BE5962" w:rsidRPr="00D63763">
              <w:rPr>
                <w:rFonts w:ascii="Arial" w:hAnsi="Arial" w:cs="Arial"/>
                <w:sz w:val="20"/>
                <w:szCs w:val="20"/>
              </w:rPr>
              <w:t>équipe</w:t>
            </w:r>
            <w:r w:rsidR="00891B15" w:rsidRPr="00D63763">
              <w:rPr>
                <w:rFonts w:ascii="Arial" w:hAnsi="Arial" w:cs="Arial"/>
                <w:sz w:val="20"/>
                <w:szCs w:val="20"/>
              </w:rPr>
              <w:t xml:space="preserve">, en accord avec les souhaits du bénéficiaire, </w:t>
            </w:r>
            <w:r w:rsidR="00BE5962" w:rsidRPr="00D63763">
              <w:rPr>
                <w:rFonts w:ascii="Arial" w:hAnsi="Arial" w:cs="Arial"/>
                <w:sz w:val="20"/>
                <w:szCs w:val="20"/>
              </w:rPr>
              <w:t xml:space="preserve">s’attachera </w:t>
            </w:r>
            <w:r w:rsidR="00891B15" w:rsidRPr="00D63763">
              <w:rPr>
                <w:rFonts w:ascii="Arial" w:hAnsi="Arial" w:cs="Arial"/>
                <w:sz w:val="20"/>
                <w:szCs w:val="20"/>
              </w:rPr>
              <w:t>à retisser un réseau local de professionnels bienveillant et soutenant, susceptible de conforter dans la durée la stabilisation de la situation de la personne : infirmier à domicile, médecin traitant, intervenants et prestataires médicaux et paramédicaux, travailleurs sociaux de secteur, aides à domicile, dispositifs de soutien spécifique, association caritative.</w:t>
            </w:r>
          </w:p>
          <w:p w:rsidR="00891B15" w:rsidRPr="00D63763" w:rsidRDefault="00891B15" w:rsidP="00891B15">
            <w:pPr>
              <w:spacing w:line="253" w:lineRule="atLeast"/>
              <w:jc w:val="both"/>
              <w:rPr>
                <w:rFonts w:ascii="Arial" w:hAnsi="Arial" w:cs="Arial"/>
                <w:sz w:val="20"/>
                <w:szCs w:val="20"/>
              </w:rPr>
            </w:pPr>
            <w:r w:rsidRPr="00D63763">
              <w:rPr>
                <w:rFonts w:ascii="Arial" w:hAnsi="Arial" w:cs="Arial"/>
                <w:sz w:val="20"/>
                <w:szCs w:val="20"/>
              </w:rPr>
              <w:t>La recherche d’une personne ressource, qu’elle soit professionnelle, familiale ou amicale sera favorisée et pourra être introduite dans l’accompagnement de l’usager, avec son accord.</w:t>
            </w:r>
          </w:p>
          <w:p w:rsidR="0057104E" w:rsidRPr="00D63763" w:rsidRDefault="00891B15" w:rsidP="00891B15">
            <w:pPr>
              <w:spacing w:line="253" w:lineRule="atLeast"/>
              <w:jc w:val="both"/>
              <w:rPr>
                <w:rFonts w:ascii="Arial" w:hAnsi="Arial" w:cs="Arial"/>
                <w:sz w:val="20"/>
                <w:szCs w:val="20"/>
              </w:rPr>
            </w:pPr>
            <w:r w:rsidRPr="00D63763">
              <w:rPr>
                <w:rFonts w:ascii="Arial" w:hAnsi="Arial" w:cs="Arial"/>
                <w:sz w:val="20"/>
                <w:szCs w:val="20"/>
              </w:rPr>
              <w:t>La coordination de l’ensemble de ces acteurs et intervenants sera alors le fondement de l’ac</w:t>
            </w:r>
            <w:r w:rsidR="00F96E80" w:rsidRPr="00D63763">
              <w:rPr>
                <w:rFonts w:ascii="Arial" w:hAnsi="Arial" w:cs="Arial"/>
                <w:sz w:val="20"/>
                <w:szCs w:val="20"/>
              </w:rPr>
              <w:t>tion développée par le</w:t>
            </w:r>
            <w:r w:rsidR="00BE5962" w:rsidRPr="00D63763">
              <w:rPr>
                <w:rFonts w:ascii="Arial" w:hAnsi="Arial" w:cs="Arial"/>
                <w:sz w:val="20"/>
                <w:szCs w:val="20"/>
              </w:rPr>
              <w:t>s</w:t>
            </w:r>
            <w:r w:rsidR="00F96E80" w:rsidRPr="00D63763">
              <w:rPr>
                <w:rFonts w:ascii="Arial" w:hAnsi="Arial" w:cs="Arial"/>
                <w:sz w:val="20"/>
                <w:szCs w:val="20"/>
              </w:rPr>
              <w:t xml:space="preserve"> service</w:t>
            </w:r>
            <w:r w:rsidR="00BE5962" w:rsidRPr="00D63763">
              <w:rPr>
                <w:rFonts w:ascii="Arial" w:hAnsi="Arial" w:cs="Arial"/>
                <w:sz w:val="20"/>
                <w:szCs w:val="20"/>
              </w:rPr>
              <w:t>s</w:t>
            </w:r>
            <w:r w:rsidR="00F96E80" w:rsidRPr="00D63763">
              <w:rPr>
                <w:rFonts w:ascii="Arial" w:hAnsi="Arial" w:cs="Arial"/>
                <w:sz w:val="20"/>
                <w:szCs w:val="20"/>
              </w:rPr>
              <w:t>.</w:t>
            </w:r>
          </w:p>
          <w:p w:rsidR="00466A81" w:rsidRPr="00D63763" w:rsidRDefault="00466A81" w:rsidP="00891B15">
            <w:pPr>
              <w:spacing w:line="253" w:lineRule="atLeast"/>
              <w:jc w:val="both"/>
              <w:rPr>
                <w:rFonts w:ascii="Arial" w:hAnsi="Arial" w:cs="Arial"/>
                <w:sz w:val="20"/>
                <w:szCs w:val="20"/>
              </w:rPr>
            </w:pPr>
          </w:p>
          <w:p w:rsidR="00466A81" w:rsidRPr="00D63763" w:rsidRDefault="00466A81" w:rsidP="00466A81">
            <w:pPr>
              <w:pStyle w:val="Paragraphedeliste"/>
              <w:numPr>
                <w:ilvl w:val="0"/>
                <w:numId w:val="17"/>
              </w:numPr>
              <w:spacing w:line="253" w:lineRule="atLeast"/>
              <w:jc w:val="both"/>
              <w:rPr>
                <w:rFonts w:ascii="Arial" w:hAnsi="Arial" w:cs="Arial"/>
                <w:b/>
                <w:sz w:val="20"/>
                <w:szCs w:val="20"/>
              </w:rPr>
            </w:pPr>
            <w:r w:rsidRPr="00D63763">
              <w:rPr>
                <w:rFonts w:ascii="Arial" w:hAnsi="Arial" w:cs="Arial"/>
                <w:b/>
                <w:sz w:val="20"/>
                <w:szCs w:val="20"/>
              </w:rPr>
              <w:t>Communication et identification des besoins de ce territoire</w:t>
            </w:r>
          </w:p>
          <w:p w:rsidR="00466A81" w:rsidRPr="00D63763" w:rsidRDefault="00466A81" w:rsidP="00466A81">
            <w:pPr>
              <w:spacing w:line="253" w:lineRule="atLeast"/>
              <w:jc w:val="both"/>
              <w:rPr>
                <w:rFonts w:ascii="Arial" w:hAnsi="Arial" w:cs="Arial"/>
                <w:sz w:val="20"/>
                <w:szCs w:val="20"/>
              </w:rPr>
            </w:pPr>
          </w:p>
          <w:p w:rsidR="00466A81" w:rsidRPr="00D63763" w:rsidRDefault="00466A81" w:rsidP="00466A81">
            <w:pPr>
              <w:spacing w:line="253" w:lineRule="atLeast"/>
              <w:jc w:val="both"/>
              <w:rPr>
                <w:rFonts w:ascii="Arial" w:hAnsi="Arial" w:cs="Arial"/>
                <w:sz w:val="20"/>
                <w:szCs w:val="20"/>
              </w:rPr>
            </w:pPr>
            <w:r w:rsidRPr="00D63763">
              <w:rPr>
                <w:rFonts w:ascii="Arial" w:hAnsi="Arial" w:cs="Arial"/>
                <w:sz w:val="20"/>
                <w:szCs w:val="20"/>
              </w:rPr>
              <w:t xml:space="preserve">L’expérimentation du dispositif ACT à domicile n’étant pas fléchée sur le territoire du Pays de Saverne mais de manière générale sur les territoires de nature plutôt rurales en priorités (10 places au total), l’ARSEA GALA veillera à communiquer auprès </w:t>
            </w:r>
            <w:proofErr w:type="gramStart"/>
            <w:r w:rsidRPr="00D63763">
              <w:rPr>
                <w:rFonts w:ascii="Arial" w:hAnsi="Arial" w:cs="Arial"/>
                <w:sz w:val="20"/>
                <w:szCs w:val="20"/>
              </w:rPr>
              <w:t>de acteurs</w:t>
            </w:r>
            <w:proofErr w:type="gramEnd"/>
            <w:r w:rsidRPr="00D63763">
              <w:rPr>
                <w:rFonts w:ascii="Arial" w:hAnsi="Arial" w:cs="Arial"/>
                <w:sz w:val="20"/>
                <w:szCs w:val="20"/>
              </w:rPr>
              <w:t xml:space="preserve"> du territoire sur les possibilités de places et à être attentif aux besoins de ce territoire concernant ce dispositif.</w:t>
            </w:r>
          </w:p>
          <w:p w:rsidR="00466A81" w:rsidRPr="00D63763" w:rsidRDefault="00466A81" w:rsidP="00466A81">
            <w:pPr>
              <w:spacing w:line="253" w:lineRule="atLeast"/>
              <w:jc w:val="both"/>
              <w:rPr>
                <w:rFonts w:ascii="Arial" w:hAnsi="Arial" w:cs="Arial"/>
                <w:sz w:val="20"/>
                <w:szCs w:val="20"/>
              </w:rPr>
            </w:pPr>
            <w:r w:rsidRPr="00D63763">
              <w:rPr>
                <w:rFonts w:ascii="Arial" w:hAnsi="Arial" w:cs="Arial"/>
                <w:sz w:val="20"/>
                <w:szCs w:val="20"/>
              </w:rPr>
              <w:t>Il fera ainsi remonter les besoins en la matière auprès de l’Agence Régionale de Santé mais aussi de la DDCS dans le cadre de la remontée des besoins annuelle.</w:t>
            </w:r>
          </w:p>
        </w:tc>
      </w:tr>
      <w:tr w:rsidR="005C4530" w:rsidRPr="00354DE9" w:rsidTr="00EC469B">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lastRenderedPageBreak/>
              <w:t>Durée de l’action</w:t>
            </w:r>
          </w:p>
        </w:tc>
        <w:tc>
          <w:tcPr>
            <w:tcW w:w="7033" w:type="dxa"/>
            <w:gridSpan w:val="4"/>
            <w:tcBorders>
              <w:bottom w:val="single" w:sz="4" w:space="0" w:color="auto"/>
            </w:tcBorders>
            <w:shd w:val="clear" w:color="auto" w:fill="auto"/>
            <w:vAlign w:val="center"/>
          </w:tcPr>
          <w:p w:rsidR="005C4530" w:rsidRPr="00354DE9" w:rsidRDefault="005C4530" w:rsidP="00EC469B">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7269EE">
              <w:rPr>
                <w:rFonts w:ascii="Arial" w:hAnsi="Arial" w:cs="Arial"/>
                <w:sz w:val="20"/>
                <w:szCs w:val="20"/>
              </w:rPr>
              <w:fldChar w:fldCharType="begin">
                <w:ffData>
                  <w:name w:val=""/>
                  <w:enabled/>
                  <w:calcOnExit w:val="0"/>
                  <w:checkBox>
                    <w:sizeAuto/>
                    <w:default w:val="1"/>
                  </w:checkBox>
                </w:ffData>
              </w:fldChar>
            </w:r>
            <w:r w:rsidR="007269EE">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007269EE">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Pr>
                <w:rFonts w:ascii="Arial" w:hAnsi="Arial" w:cs="Arial"/>
                <w:sz w:val="20"/>
                <w:szCs w:val="20"/>
              </w:rPr>
              <w:br/>
              <w:t xml:space="preserve">Début : </w:t>
            </w:r>
            <w:r w:rsidR="007269EE">
              <w:rPr>
                <w:rFonts w:ascii="Arial" w:hAnsi="Arial" w:cs="Arial"/>
                <w:sz w:val="20"/>
                <w:szCs w:val="20"/>
              </w:rPr>
              <w:t>janvier 2020</w:t>
            </w:r>
            <w:r>
              <w:rPr>
                <w:rFonts w:ascii="Arial" w:hAnsi="Arial" w:cs="Arial"/>
                <w:sz w:val="20"/>
                <w:szCs w:val="20"/>
              </w:rPr>
              <w:t xml:space="preserve">                                            Fin : </w:t>
            </w:r>
            <w:r w:rsidR="007269EE">
              <w:rPr>
                <w:rFonts w:ascii="Arial" w:hAnsi="Arial" w:cs="Arial"/>
                <w:sz w:val="20"/>
                <w:szCs w:val="20"/>
              </w:rPr>
              <w:t>Décembre 2</w:t>
            </w:r>
            <w:r w:rsidR="00281452">
              <w:rPr>
                <w:rFonts w:ascii="Arial" w:hAnsi="Arial" w:cs="Arial"/>
                <w:sz w:val="20"/>
                <w:szCs w:val="20"/>
              </w:rPr>
              <w:t>1</w:t>
            </w:r>
          </w:p>
        </w:tc>
      </w:tr>
      <w:tr w:rsidR="00354DE9" w:rsidRPr="00354DE9" w:rsidTr="00EC469B">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7033" w:type="dxa"/>
            <w:gridSpan w:val="4"/>
            <w:tcBorders>
              <w:bottom w:val="single" w:sz="4" w:space="0" w:color="auto"/>
            </w:tcBorders>
            <w:shd w:val="clear" w:color="auto" w:fill="auto"/>
            <w:vAlign w:val="center"/>
          </w:tcPr>
          <w:p w:rsidR="007F5BDF" w:rsidRPr="00354DE9" w:rsidRDefault="006147AC" w:rsidP="006147AC">
            <w:pPr>
              <w:rPr>
                <w:rFonts w:ascii="Arial" w:hAnsi="Arial" w:cs="Arial"/>
                <w:sz w:val="20"/>
                <w:szCs w:val="20"/>
              </w:rPr>
            </w:pPr>
            <w:r>
              <w:rPr>
                <w:rFonts w:ascii="Arial" w:hAnsi="Arial" w:cs="Arial"/>
                <w:sz w:val="20"/>
                <w:szCs w:val="20"/>
              </w:rPr>
              <w:t>CH, UTAMS et CCAS de Saverne,</w:t>
            </w:r>
            <w:r w:rsidR="009379D1">
              <w:rPr>
                <w:rFonts w:ascii="Arial" w:hAnsi="Arial" w:cs="Arial"/>
                <w:sz w:val="20"/>
                <w:szCs w:val="20"/>
              </w:rPr>
              <w:t xml:space="preserve"> l’ARS</w:t>
            </w:r>
            <w:r>
              <w:rPr>
                <w:rFonts w:ascii="Arial" w:hAnsi="Arial" w:cs="Arial"/>
                <w:sz w:val="20"/>
                <w:szCs w:val="20"/>
              </w:rPr>
              <w:t xml:space="preserve"> et les </w:t>
            </w:r>
            <w:proofErr w:type="spellStart"/>
            <w:r>
              <w:rPr>
                <w:rFonts w:ascii="Arial" w:hAnsi="Arial" w:cs="Arial"/>
                <w:sz w:val="20"/>
                <w:szCs w:val="20"/>
              </w:rPr>
              <w:t>accosiations</w:t>
            </w:r>
            <w:proofErr w:type="spellEnd"/>
            <w:r>
              <w:rPr>
                <w:rFonts w:ascii="Arial" w:hAnsi="Arial" w:cs="Arial"/>
                <w:sz w:val="20"/>
                <w:szCs w:val="20"/>
              </w:rPr>
              <w:t xml:space="preserve"> locales</w:t>
            </w:r>
          </w:p>
        </w:tc>
      </w:tr>
      <w:tr w:rsidR="0046751A" w:rsidRPr="00354DE9" w:rsidTr="00D63763">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803" w:type="dxa"/>
            <w:gridSpan w:val="3"/>
            <w:shd w:val="clear" w:color="auto" w:fill="auto"/>
            <w:vAlign w:val="center"/>
          </w:tcPr>
          <w:p w:rsidR="00AC64C8" w:rsidRPr="00EA7DFE" w:rsidRDefault="0017367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rsidR="0046751A" w:rsidRPr="00EA7DFE"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6147AC" w:rsidP="00F47D59">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D63763">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23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6147A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6147AC"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 xml:space="preserve">De la prévention et de la </w:t>
            </w:r>
            <w:r w:rsidR="00D63763">
              <w:rPr>
                <w:rFonts w:ascii="Arial" w:eastAsia="Times New Roman" w:hAnsi="Arial" w:cs="Arial"/>
                <w:sz w:val="20"/>
                <w:szCs w:val="20"/>
                <w:lang w:eastAsia="fr-FR"/>
              </w:rPr>
              <w:br/>
              <w:t xml:space="preserve">      </w:t>
            </w:r>
            <w:r w:rsidR="0046751A" w:rsidRPr="00354DE9">
              <w:rPr>
                <w:rFonts w:ascii="Arial" w:eastAsia="Times New Roman" w:hAnsi="Arial" w:cs="Arial"/>
                <w:sz w:val="20"/>
                <w:szCs w:val="20"/>
                <w:lang w:eastAsia="fr-FR"/>
              </w:rPr>
              <w:t>promotion de la santé</w:t>
            </w:r>
            <w:r w:rsidR="0046751A"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EC469B">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7033" w:type="dxa"/>
            <w:gridSpan w:val="4"/>
            <w:vAlign w:val="center"/>
          </w:tcPr>
          <w:p w:rsidR="008E2932" w:rsidRPr="00354DE9" w:rsidRDefault="007269EE" w:rsidP="00F16670">
            <w:pPr>
              <w:rPr>
                <w:rFonts w:ascii="Arial" w:hAnsi="Arial" w:cs="Arial"/>
                <w:sz w:val="20"/>
                <w:szCs w:val="20"/>
              </w:rPr>
            </w:pPr>
            <w:r>
              <w:rPr>
                <w:rFonts w:ascii="Arial" w:hAnsi="Arial" w:cs="Arial"/>
                <w:sz w:val="20"/>
                <w:szCs w:val="20"/>
              </w:rPr>
              <w:t>Pays de Saverne Plaine et Plateau</w:t>
            </w:r>
          </w:p>
        </w:tc>
      </w:tr>
      <w:tr w:rsidR="00F71D52" w:rsidRPr="00354DE9" w:rsidTr="00EC469B">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244" w:type="dxa"/>
            <w:gridSpan w:val="2"/>
            <w:shd w:val="clear" w:color="auto" w:fill="auto"/>
            <w:vAlign w:val="center"/>
          </w:tcPr>
          <w:p w:rsidR="006147AC" w:rsidRDefault="00C2609C" w:rsidP="00F16670">
            <w:pPr>
              <w:rPr>
                <w:rFonts w:ascii="Arial" w:hAnsi="Arial" w:cs="Arial"/>
                <w:sz w:val="20"/>
                <w:szCs w:val="20"/>
              </w:rPr>
            </w:pPr>
            <w:r>
              <w:rPr>
                <w:rFonts w:ascii="Arial" w:hAnsi="Arial" w:cs="Arial"/>
                <w:sz w:val="20"/>
                <w:szCs w:val="20"/>
              </w:rPr>
              <w:t>176</w:t>
            </w:r>
            <w:r w:rsidR="00EC469B">
              <w:rPr>
                <w:rFonts w:ascii="Arial" w:hAnsi="Arial" w:cs="Arial"/>
                <w:sz w:val="20"/>
                <w:szCs w:val="20"/>
              </w:rPr>
              <w:t> </w:t>
            </w:r>
            <w:r>
              <w:rPr>
                <w:rFonts w:ascii="Arial" w:hAnsi="Arial" w:cs="Arial"/>
                <w:sz w:val="20"/>
                <w:szCs w:val="20"/>
              </w:rPr>
              <w:t>800</w:t>
            </w:r>
            <w:r w:rsidR="00EC469B">
              <w:rPr>
                <w:rFonts w:ascii="Arial" w:hAnsi="Arial" w:cs="Arial"/>
                <w:sz w:val="20"/>
                <w:szCs w:val="20"/>
              </w:rPr>
              <w:t xml:space="preserve"> </w:t>
            </w:r>
            <w:r>
              <w:rPr>
                <w:rFonts w:ascii="Arial" w:hAnsi="Arial" w:cs="Arial"/>
                <w:sz w:val="20"/>
                <w:szCs w:val="20"/>
              </w:rPr>
              <w:t>€</w:t>
            </w:r>
            <w:r w:rsidR="00BE5962">
              <w:rPr>
                <w:rFonts w:ascii="Arial" w:hAnsi="Arial" w:cs="Arial"/>
                <w:sz w:val="20"/>
                <w:szCs w:val="20"/>
              </w:rPr>
              <w:t xml:space="preserve"> ACT à domicile</w:t>
            </w:r>
            <w:r w:rsidR="006147AC">
              <w:rPr>
                <w:rFonts w:ascii="Arial" w:hAnsi="Arial" w:cs="Arial"/>
                <w:sz w:val="20"/>
                <w:szCs w:val="20"/>
              </w:rPr>
              <w:t xml:space="preserve"> (financement pour 10 places sur le département 67)</w:t>
            </w:r>
          </w:p>
          <w:p w:rsidR="007452AB" w:rsidRPr="00354DE9" w:rsidRDefault="006147AC" w:rsidP="006147AC">
            <w:pPr>
              <w:rPr>
                <w:rFonts w:ascii="Arial" w:hAnsi="Arial" w:cs="Arial"/>
                <w:sz w:val="20"/>
                <w:szCs w:val="20"/>
              </w:rPr>
            </w:pPr>
            <w:r>
              <w:rPr>
                <w:rFonts w:ascii="Arial" w:hAnsi="Arial" w:cs="Arial"/>
                <w:sz w:val="20"/>
                <w:szCs w:val="20"/>
              </w:rPr>
              <w:t>ACT généraliste à financer</w:t>
            </w:r>
            <w:r w:rsidR="00BE5962">
              <w:rPr>
                <w:rFonts w:ascii="Arial" w:hAnsi="Arial" w:cs="Arial"/>
                <w:sz w:val="20"/>
                <w:szCs w:val="20"/>
              </w:rPr>
              <w:t xml:space="preserve"> </w:t>
            </w:r>
          </w:p>
        </w:tc>
      </w:tr>
      <w:tr w:rsidR="00F71D52" w:rsidRPr="00354DE9" w:rsidTr="00EC469B">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244" w:type="dxa"/>
            <w:gridSpan w:val="2"/>
            <w:shd w:val="clear" w:color="auto" w:fill="auto"/>
            <w:vAlign w:val="center"/>
          </w:tcPr>
          <w:p w:rsidR="00F71D52" w:rsidRPr="00354DE9" w:rsidRDefault="00CA1F4D" w:rsidP="00F16670">
            <w:pPr>
              <w:rPr>
                <w:rFonts w:ascii="Arial" w:hAnsi="Arial" w:cs="Arial"/>
                <w:sz w:val="20"/>
                <w:szCs w:val="20"/>
              </w:rPr>
            </w:pPr>
            <w:r>
              <w:rPr>
                <w:rFonts w:ascii="Arial" w:hAnsi="Arial" w:cs="Arial"/>
                <w:sz w:val="20"/>
                <w:szCs w:val="20"/>
              </w:rPr>
              <w:t>ARS</w:t>
            </w:r>
          </w:p>
        </w:tc>
      </w:tr>
      <w:tr w:rsidR="00F71D52" w:rsidRPr="00354DE9" w:rsidTr="00EC469B">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244" w:type="dxa"/>
            <w:gridSpan w:val="2"/>
            <w:shd w:val="clear" w:color="auto" w:fill="auto"/>
            <w:vAlign w:val="center"/>
          </w:tcPr>
          <w:p w:rsidR="00452022" w:rsidRPr="00452022" w:rsidRDefault="00452022" w:rsidP="00452022">
            <w:pPr>
              <w:rPr>
                <w:rFonts w:ascii="Arial" w:hAnsi="Arial" w:cs="Arial"/>
                <w:sz w:val="20"/>
                <w:szCs w:val="20"/>
              </w:rPr>
            </w:pPr>
            <w:r>
              <w:rPr>
                <w:rFonts w:ascii="Arial" w:hAnsi="Arial" w:cs="Arial"/>
                <w:sz w:val="20"/>
                <w:szCs w:val="20"/>
              </w:rPr>
              <w:t xml:space="preserve">Mutualisation </w:t>
            </w:r>
            <w:r w:rsidRPr="00452022">
              <w:rPr>
                <w:rFonts w:ascii="Arial" w:hAnsi="Arial" w:cs="Arial"/>
                <w:sz w:val="20"/>
                <w:szCs w:val="20"/>
              </w:rPr>
              <w:t xml:space="preserve">des emplois et des compétences </w:t>
            </w:r>
            <w:r>
              <w:rPr>
                <w:rFonts w:ascii="Arial" w:hAnsi="Arial" w:cs="Arial"/>
                <w:sz w:val="20"/>
                <w:szCs w:val="20"/>
              </w:rPr>
              <w:t>du</w:t>
            </w:r>
            <w:r w:rsidRPr="00452022">
              <w:rPr>
                <w:rFonts w:ascii="Arial" w:hAnsi="Arial" w:cs="Arial"/>
                <w:sz w:val="20"/>
                <w:szCs w:val="20"/>
              </w:rPr>
              <w:t xml:space="preserve"> personnel d’encadrement, administratif et technique, pour limiter les coûts et rationnaliser les compétences. </w:t>
            </w:r>
          </w:p>
          <w:p w:rsidR="00F71D52" w:rsidRPr="00354DE9" w:rsidRDefault="00452022" w:rsidP="0008055B">
            <w:pPr>
              <w:rPr>
                <w:rFonts w:ascii="Arial" w:hAnsi="Arial" w:cs="Arial"/>
                <w:sz w:val="20"/>
                <w:szCs w:val="20"/>
              </w:rPr>
            </w:pPr>
            <w:r w:rsidRPr="00452022">
              <w:rPr>
                <w:rFonts w:ascii="Arial" w:hAnsi="Arial" w:cs="Arial"/>
                <w:sz w:val="20"/>
                <w:szCs w:val="20"/>
              </w:rPr>
              <w:t xml:space="preserve">Les salariés bénéficieront de bureaux propres au sein du siège de l’établissement GALA et </w:t>
            </w:r>
            <w:r w:rsidR="0008055B">
              <w:rPr>
                <w:rFonts w:ascii="Arial" w:hAnsi="Arial" w:cs="Arial"/>
                <w:sz w:val="20"/>
                <w:szCs w:val="20"/>
              </w:rPr>
              <w:t>l’</w:t>
            </w:r>
            <w:r w:rsidRPr="00452022">
              <w:rPr>
                <w:rFonts w:ascii="Arial" w:hAnsi="Arial" w:cs="Arial"/>
                <w:sz w:val="20"/>
                <w:szCs w:val="20"/>
              </w:rPr>
              <w:t>antenne de Saverne</w:t>
            </w:r>
            <w:r w:rsidR="00C854F2">
              <w:rPr>
                <w:rFonts w:ascii="Arial" w:hAnsi="Arial" w:cs="Arial"/>
                <w:sz w:val="20"/>
                <w:szCs w:val="20"/>
              </w:rPr>
              <w:t xml:space="preserve">. </w:t>
            </w:r>
          </w:p>
        </w:tc>
      </w:tr>
      <w:tr w:rsidR="00143098" w:rsidRPr="00354DE9" w:rsidTr="00EC469B">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lastRenderedPageBreak/>
              <w:t>Déterminants de santé visés</w:t>
            </w: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C2609C"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C2609C"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r w:rsidR="00EC469B">
              <w:rPr>
                <w:rFonts w:ascii="Arial" w:eastAsia="Times New Roman" w:hAnsi="Arial" w:cs="Arial"/>
                <w:iCs/>
                <w:sz w:val="20"/>
                <w:szCs w:val="20"/>
                <w:lang w:eastAsia="fr-FR"/>
              </w:rPr>
              <w:br/>
              <w:t xml:space="preserve">     </w:t>
            </w:r>
            <w:r w:rsidR="00143098" w:rsidRPr="00354DE9">
              <w:rPr>
                <w:rFonts w:ascii="Arial" w:eastAsia="Times New Roman" w:hAnsi="Arial" w:cs="Arial"/>
                <w:iCs/>
                <w:sz w:val="20"/>
                <w:szCs w:val="20"/>
                <w:lang w:eastAsia="fr-FR"/>
              </w:rPr>
              <w:t>sociales)</w:t>
            </w:r>
          </w:p>
          <w:p w:rsidR="00143098" w:rsidRPr="00354DE9" w:rsidRDefault="00C2609C"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1" w:name="CaseACocher61"/>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bookmarkEnd w:id="1"/>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C2609C"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6147AC"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Efficacité et sécurité</w:t>
            </w:r>
          </w:p>
        </w:tc>
      </w:tr>
      <w:tr w:rsidR="00143098" w:rsidRPr="00354DE9" w:rsidTr="00EC469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C2609C"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EC469B">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C2609C"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C469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6147AC"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 xml:space="preserve">(logement, loisir, services </w:t>
            </w:r>
            <w:r w:rsidR="00EC469B">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C469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C2609C"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6147AC"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Empowerment </w:t>
            </w:r>
            <w:r w:rsidR="00143098"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C469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C2609C"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6147AC"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 xml:space="preserve">(prise en compte des déterminants de santé </w:t>
            </w:r>
            <w:r w:rsidR="00EC469B">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dans les politiques)</w:t>
            </w:r>
          </w:p>
        </w:tc>
      </w:tr>
      <w:tr w:rsidR="00143098" w:rsidRPr="00354DE9" w:rsidTr="00EC469B">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EC469B">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C469B">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7033" w:type="dxa"/>
            <w:gridSpan w:val="4"/>
            <w:vAlign w:val="center"/>
          </w:tcPr>
          <w:p w:rsidR="001361D6" w:rsidRDefault="007269EE" w:rsidP="00D9224D">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C469B">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7033" w:type="dxa"/>
            <w:gridSpan w:val="4"/>
            <w:vAlign w:val="center"/>
          </w:tcPr>
          <w:p w:rsidR="00DB1DCC" w:rsidRPr="00354DE9" w:rsidRDefault="003B2C8D" w:rsidP="00DB1DC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PRAPS</w:t>
            </w:r>
          </w:p>
        </w:tc>
      </w:tr>
      <w:tr w:rsidR="00562D16" w:rsidRPr="00354DE9" w:rsidTr="00EC469B">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7033" w:type="dxa"/>
            <w:gridSpan w:val="4"/>
            <w:vAlign w:val="center"/>
          </w:tcPr>
          <w:p w:rsidR="00562D16" w:rsidRPr="00354DE9" w:rsidRDefault="001361D6" w:rsidP="007269EE">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7269EE">
              <w:rPr>
                <w:rFonts w:ascii="Arial" w:hAnsi="Arial" w:cs="Arial"/>
                <w:sz w:val="20"/>
                <w:szCs w:val="20"/>
              </w:rPr>
              <w:fldChar w:fldCharType="begin">
                <w:ffData>
                  <w:name w:val=""/>
                  <w:enabled/>
                  <w:calcOnExit w:val="0"/>
                  <w:checkBox>
                    <w:sizeAuto/>
                    <w:default w:val="1"/>
                  </w:checkBox>
                </w:ffData>
              </w:fldChar>
            </w:r>
            <w:r w:rsidR="007269EE">
              <w:rPr>
                <w:rFonts w:ascii="Arial" w:hAnsi="Arial" w:cs="Arial"/>
                <w:sz w:val="20"/>
                <w:szCs w:val="20"/>
              </w:rPr>
              <w:instrText xml:space="preserve"> FORMCHECKBOX </w:instrText>
            </w:r>
            <w:r w:rsidR="00D63763">
              <w:rPr>
                <w:rFonts w:ascii="Arial" w:hAnsi="Arial" w:cs="Arial"/>
                <w:sz w:val="20"/>
                <w:szCs w:val="20"/>
              </w:rPr>
            </w:r>
            <w:r w:rsidR="00D63763">
              <w:rPr>
                <w:rFonts w:ascii="Arial" w:hAnsi="Arial" w:cs="Arial"/>
                <w:sz w:val="20"/>
                <w:szCs w:val="20"/>
              </w:rPr>
              <w:fldChar w:fldCharType="separate"/>
            </w:r>
            <w:r w:rsidR="007269EE">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EC469B">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703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96E80" w:rsidRPr="00EC469B" w:rsidRDefault="003B2C8D" w:rsidP="00F96E80">
            <w:pPr>
              <w:rPr>
                <w:rFonts w:ascii="Arial" w:hAnsi="Arial" w:cs="Arial"/>
                <w:sz w:val="20"/>
                <w:szCs w:val="20"/>
              </w:rPr>
            </w:pPr>
            <w:r w:rsidRPr="00EC469B">
              <w:rPr>
                <w:rFonts w:ascii="Arial" w:hAnsi="Arial" w:cs="Arial"/>
                <w:sz w:val="20"/>
                <w:szCs w:val="20"/>
              </w:rPr>
              <w:t>Mise en place d’é</w:t>
            </w:r>
            <w:r w:rsidR="00F96E80" w:rsidRPr="00EC469B">
              <w:rPr>
                <w:rFonts w:ascii="Arial" w:hAnsi="Arial" w:cs="Arial"/>
                <w:sz w:val="20"/>
                <w:szCs w:val="20"/>
              </w:rPr>
              <w:t>léments statistiques pour évaluer :</w:t>
            </w:r>
            <w:r w:rsidR="00EC469B">
              <w:rPr>
                <w:rFonts w:ascii="Arial" w:hAnsi="Arial" w:cs="Arial"/>
                <w:sz w:val="20"/>
                <w:szCs w:val="20"/>
              </w:rPr>
              <w:br/>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nombre de places créées</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nombre de demandes déposées</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nombre de personnes ayant bénéficié d’éducation thérapeutique</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 xml:space="preserve">Le nombre de personnes accompagnées </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profil des personnes accompagnées (sexe, typologie des ménages, situation initiales, pathologies)</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L’origine de l’orientation</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La situation socio-économique des ménages à l’entrée et à la sortie</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Les conditions de logement</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nombre de maintien dans le logement</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nombre de personne accompagnée ayant un médecin traitant</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L’accès aux droits sociaux à l’entrée et à la sortie</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lastRenderedPageBreak/>
              <w:t>La durée moyenne de l’accompagnement</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Les motifs de l’arrêt de l’accompagnement</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La situation à la sortie du dispositif</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nombre de conventions ou de partenariats signés avec le secteur hospitalier, des structures médico-sociales, des établissements sociaux, des associations caritatives, ou des administrations publiques</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nombre d’entretien dans le cadre de l’accompagnement médico-social</w:t>
            </w:r>
          </w:p>
          <w:p w:rsidR="00F96E80" w:rsidRPr="00EC469B" w:rsidRDefault="00F96E80" w:rsidP="00F96E80">
            <w:pPr>
              <w:pStyle w:val="Paragraphedeliste"/>
              <w:numPr>
                <w:ilvl w:val="0"/>
                <w:numId w:val="16"/>
              </w:numPr>
              <w:ind w:left="409"/>
              <w:jc w:val="both"/>
              <w:rPr>
                <w:rFonts w:ascii="Arial" w:hAnsi="Arial" w:cs="Arial"/>
                <w:sz w:val="20"/>
                <w:szCs w:val="20"/>
              </w:rPr>
            </w:pPr>
            <w:r w:rsidRPr="00EC469B">
              <w:rPr>
                <w:rFonts w:ascii="Arial" w:hAnsi="Arial" w:cs="Arial"/>
                <w:sz w:val="20"/>
                <w:szCs w:val="20"/>
              </w:rPr>
              <w:t>Le nombre d’ateliers ou moments de convivialité organisé autour des bénéficiaires</w:t>
            </w:r>
          </w:p>
          <w:p w:rsidR="00F96E80" w:rsidRPr="00EC469B" w:rsidRDefault="00F96E80" w:rsidP="00F96E80">
            <w:pPr>
              <w:rPr>
                <w:rFonts w:ascii="Arial" w:hAnsi="Arial" w:cs="Arial"/>
                <w:sz w:val="20"/>
                <w:szCs w:val="20"/>
              </w:rPr>
            </w:pPr>
          </w:p>
          <w:p w:rsidR="00EA7DFE" w:rsidRPr="00EC469B" w:rsidRDefault="003B2C8D" w:rsidP="003B2C8D">
            <w:pPr>
              <w:rPr>
                <w:rFonts w:ascii="Arial" w:hAnsi="Arial" w:cs="Arial"/>
                <w:sz w:val="20"/>
                <w:szCs w:val="20"/>
              </w:rPr>
            </w:pPr>
            <w:r w:rsidRPr="00EC469B">
              <w:rPr>
                <w:rFonts w:ascii="Arial" w:hAnsi="Arial" w:cs="Arial"/>
                <w:sz w:val="20"/>
                <w:szCs w:val="20"/>
              </w:rPr>
              <w:t>Mise en place d’un</w:t>
            </w:r>
            <w:r w:rsidR="00F96E80" w:rsidRPr="00EC469B">
              <w:rPr>
                <w:rFonts w:ascii="Arial" w:hAnsi="Arial" w:cs="Arial"/>
                <w:sz w:val="20"/>
                <w:szCs w:val="20"/>
              </w:rPr>
              <w:t xml:space="preserve"> questionnaire de satisfaction à destination des personnes a</w:t>
            </w:r>
            <w:r w:rsidRPr="00EC469B">
              <w:rPr>
                <w:rFonts w:ascii="Arial" w:hAnsi="Arial" w:cs="Arial"/>
                <w:sz w:val="20"/>
                <w:szCs w:val="20"/>
              </w:rPr>
              <w:t>ccompagnées et des partenaires</w:t>
            </w:r>
            <w:r w:rsidR="00D63763">
              <w:rPr>
                <w:rFonts w:ascii="Arial" w:hAnsi="Arial" w:cs="Arial"/>
                <w:sz w:val="20"/>
                <w:szCs w:val="20"/>
              </w:rPr>
              <w:t> ;</w:t>
            </w:r>
          </w:p>
          <w:p w:rsidR="003B2C8D" w:rsidRPr="00F96E80" w:rsidRDefault="00EC469B" w:rsidP="003B2C8D">
            <w:r>
              <w:rPr>
                <w:rFonts w:ascii="Arial" w:hAnsi="Arial" w:cs="Arial"/>
                <w:sz w:val="20"/>
                <w:szCs w:val="20"/>
              </w:rPr>
              <w:t>Rapp</w:t>
            </w:r>
            <w:r w:rsidR="003B2C8D" w:rsidRPr="00EC469B">
              <w:rPr>
                <w:rFonts w:ascii="Arial" w:hAnsi="Arial" w:cs="Arial"/>
                <w:sz w:val="20"/>
                <w:szCs w:val="20"/>
              </w:rPr>
              <w:t>o</w:t>
            </w:r>
            <w:r>
              <w:rPr>
                <w:rFonts w:ascii="Arial" w:hAnsi="Arial" w:cs="Arial"/>
                <w:sz w:val="20"/>
                <w:szCs w:val="20"/>
              </w:rPr>
              <w:t>r</w:t>
            </w:r>
            <w:r w:rsidR="003B2C8D" w:rsidRPr="00EC469B">
              <w:rPr>
                <w:rFonts w:ascii="Arial" w:hAnsi="Arial" w:cs="Arial"/>
                <w:sz w:val="20"/>
                <w:szCs w:val="20"/>
              </w:rPr>
              <w:t>t d’activité annuel</w:t>
            </w:r>
            <w:r w:rsidR="00D63763">
              <w:rPr>
                <w:rFonts w:ascii="Arial" w:hAnsi="Arial" w:cs="Arial"/>
                <w:sz w:val="20"/>
                <w:szCs w:val="20"/>
              </w:rPr>
              <w:t>.</w:t>
            </w:r>
            <w:bookmarkStart w:id="2" w:name="_GoBack"/>
            <w:bookmarkEnd w:id="2"/>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72" w:rsidRDefault="003E1272" w:rsidP="000F65D0">
      <w:pPr>
        <w:spacing w:after="0" w:line="240" w:lineRule="auto"/>
      </w:pPr>
      <w:r>
        <w:separator/>
      </w:r>
    </w:p>
  </w:endnote>
  <w:endnote w:type="continuationSeparator" w:id="0">
    <w:p w:rsidR="003E1272" w:rsidRDefault="003E1272"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72" w:rsidRDefault="003E1272" w:rsidP="000F65D0">
      <w:pPr>
        <w:spacing w:after="0" w:line="240" w:lineRule="auto"/>
      </w:pPr>
      <w:r>
        <w:separator/>
      </w:r>
    </w:p>
  </w:footnote>
  <w:footnote w:type="continuationSeparator" w:id="0">
    <w:p w:rsidR="003E1272" w:rsidRDefault="003E1272"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00D5"/>
    <w:multiLevelType w:val="hybridMultilevel"/>
    <w:tmpl w:val="133E7B6E"/>
    <w:lvl w:ilvl="0" w:tplc="1A34C2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9F6897"/>
    <w:multiLevelType w:val="hybridMultilevel"/>
    <w:tmpl w:val="669CD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D20B78"/>
    <w:multiLevelType w:val="hybridMultilevel"/>
    <w:tmpl w:val="8A9CE2E6"/>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1B3370"/>
    <w:multiLevelType w:val="hybridMultilevel"/>
    <w:tmpl w:val="FCC0F396"/>
    <w:lvl w:ilvl="0" w:tplc="1A34C2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F46DF6"/>
    <w:multiLevelType w:val="hybridMultilevel"/>
    <w:tmpl w:val="7A6024A8"/>
    <w:lvl w:ilvl="0" w:tplc="41F6016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194726"/>
    <w:multiLevelType w:val="hybridMultilevel"/>
    <w:tmpl w:val="6494225C"/>
    <w:lvl w:ilvl="0" w:tplc="1A34C20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A496DD7"/>
    <w:multiLevelType w:val="hybridMultilevel"/>
    <w:tmpl w:val="1D1AAD9A"/>
    <w:lvl w:ilvl="0" w:tplc="41F6016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A14C01"/>
    <w:multiLevelType w:val="hybridMultilevel"/>
    <w:tmpl w:val="15FCBFE0"/>
    <w:lvl w:ilvl="0" w:tplc="41F6016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7B32BC"/>
    <w:multiLevelType w:val="hybridMultilevel"/>
    <w:tmpl w:val="27DCAED8"/>
    <w:lvl w:ilvl="0" w:tplc="41F6016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EC1E82"/>
    <w:multiLevelType w:val="hybridMultilevel"/>
    <w:tmpl w:val="868AFA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1B2B96"/>
    <w:multiLevelType w:val="hybridMultilevel"/>
    <w:tmpl w:val="A69422B2"/>
    <w:lvl w:ilvl="0" w:tplc="29AE617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2E01261"/>
    <w:multiLevelType w:val="hybridMultilevel"/>
    <w:tmpl w:val="E51E5548"/>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86A14CE"/>
    <w:multiLevelType w:val="hybridMultilevel"/>
    <w:tmpl w:val="29365758"/>
    <w:lvl w:ilvl="0" w:tplc="25EE5F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93028A"/>
    <w:multiLevelType w:val="hybridMultilevel"/>
    <w:tmpl w:val="8582489C"/>
    <w:lvl w:ilvl="0" w:tplc="29AE61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D953DA"/>
    <w:multiLevelType w:val="hybridMultilevel"/>
    <w:tmpl w:val="4C9C4B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35B27E2"/>
    <w:multiLevelType w:val="hybridMultilevel"/>
    <w:tmpl w:val="A3929A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1"/>
  </w:num>
  <w:num w:numId="5">
    <w:abstractNumId w:val="7"/>
  </w:num>
  <w:num w:numId="6">
    <w:abstractNumId w:val="6"/>
  </w:num>
  <w:num w:numId="7">
    <w:abstractNumId w:val="9"/>
  </w:num>
  <w:num w:numId="8">
    <w:abstractNumId w:val="4"/>
  </w:num>
  <w:num w:numId="9">
    <w:abstractNumId w:val="15"/>
  </w:num>
  <w:num w:numId="10">
    <w:abstractNumId w:val="12"/>
  </w:num>
  <w:num w:numId="11">
    <w:abstractNumId w:val="17"/>
  </w:num>
  <w:num w:numId="12">
    <w:abstractNumId w:val="16"/>
  </w:num>
  <w:num w:numId="13">
    <w:abstractNumId w:val="0"/>
  </w:num>
  <w:num w:numId="14">
    <w:abstractNumId w:val="3"/>
  </w:num>
  <w:num w:numId="15">
    <w:abstractNumId w:val="14"/>
  </w:num>
  <w:num w:numId="16">
    <w:abstractNumId w:val="5"/>
  </w:num>
  <w:num w:numId="17">
    <w:abstractNumId w:val="1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146D7"/>
    <w:rsid w:val="000369F8"/>
    <w:rsid w:val="000415CE"/>
    <w:rsid w:val="000467C4"/>
    <w:rsid w:val="0007266E"/>
    <w:rsid w:val="0008055B"/>
    <w:rsid w:val="00081313"/>
    <w:rsid w:val="0009004E"/>
    <w:rsid w:val="0009071D"/>
    <w:rsid w:val="00092B06"/>
    <w:rsid w:val="00095BF8"/>
    <w:rsid w:val="000B410A"/>
    <w:rsid w:val="000D20D5"/>
    <w:rsid w:val="000F65D0"/>
    <w:rsid w:val="00111338"/>
    <w:rsid w:val="0011319B"/>
    <w:rsid w:val="001361D6"/>
    <w:rsid w:val="00143098"/>
    <w:rsid w:val="001514A1"/>
    <w:rsid w:val="00155A3B"/>
    <w:rsid w:val="0017367C"/>
    <w:rsid w:val="001A363E"/>
    <w:rsid w:val="001B5676"/>
    <w:rsid w:val="001B66A4"/>
    <w:rsid w:val="001D2B35"/>
    <w:rsid w:val="001D3C27"/>
    <w:rsid w:val="001F3366"/>
    <w:rsid w:val="00200CC5"/>
    <w:rsid w:val="00220C2D"/>
    <w:rsid w:val="00232B63"/>
    <w:rsid w:val="00232D46"/>
    <w:rsid w:val="002369FA"/>
    <w:rsid w:val="00236FB1"/>
    <w:rsid w:val="00281452"/>
    <w:rsid w:val="00283654"/>
    <w:rsid w:val="002A03EA"/>
    <w:rsid w:val="002B2249"/>
    <w:rsid w:val="002C3F5E"/>
    <w:rsid w:val="002C5D0C"/>
    <w:rsid w:val="002E030B"/>
    <w:rsid w:val="002E571E"/>
    <w:rsid w:val="002F799F"/>
    <w:rsid w:val="003036FE"/>
    <w:rsid w:val="00317EE6"/>
    <w:rsid w:val="003211AB"/>
    <w:rsid w:val="00354DE9"/>
    <w:rsid w:val="0036710F"/>
    <w:rsid w:val="003B2C8D"/>
    <w:rsid w:val="003B50D4"/>
    <w:rsid w:val="003C1972"/>
    <w:rsid w:val="003C5A06"/>
    <w:rsid w:val="003C7858"/>
    <w:rsid w:val="003D3A7D"/>
    <w:rsid w:val="003D7039"/>
    <w:rsid w:val="003E06AB"/>
    <w:rsid w:val="003E1272"/>
    <w:rsid w:val="003E6827"/>
    <w:rsid w:val="003F4186"/>
    <w:rsid w:val="00406721"/>
    <w:rsid w:val="00413208"/>
    <w:rsid w:val="004205F4"/>
    <w:rsid w:val="00436408"/>
    <w:rsid w:val="004438EA"/>
    <w:rsid w:val="00452022"/>
    <w:rsid w:val="004538FE"/>
    <w:rsid w:val="00454C16"/>
    <w:rsid w:val="00466A81"/>
    <w:rsid w:val="0046751A"/>
    <w:rsid w:val="00470F3C"/>
    <w:rsid w:val="004763B9"/>
    <w:rsid w:val="00485C93"/>
    <w:rsid w:val="00497CC6"/>
    <w:rsid w:val="004B09AF"/>
    <w:rsid w:val="004C6A6F"/>
    <w:rsid w:val="004D2233"/>
    <w:rsid w:val="004E3FC8"/>
    <w:rsid w:val="00514B68"/>
    <w:rsid w:val="00520A61"/>
    <w:rsid w:val="005259C1"/>
    <w:rsid w:val="005279BE"/>
    <w:rsid w:val="005424C3"/>
    <w:rsid w:val="0055218D"/>
    <w:rsid w:val="00562D16"/>
    <w:rsid w:val="00565122"/>
    <w:rsid w:val="0057104E"/>
    <w:rsid w:val="00581B8F"/>
    <w:rsid w:val="0058636E"/>
    <w:rsid w:val="005B3191"/>
    <w:rsid w:val="005C4530"/>
    <w:rsid w:val="005C6B90"/>
    <w:rsid w:val="005D223B"/>
    <w:rsid w:val="00603E4F"/>
    <w:rsid w:val="006075C2"/>
    <w:rsid w:val="006147AC"/>
    <w:rsid w:val="006226B2"/>
    <w:rsid w:val="00635DD5"/>
    <w:rsid w:val="00642029"/>
    <w:rsid w:val="00645F05"/>
    <w:rsid w:val="00667A06"/>
    <w:rsid w:val="00683C9E"/>
    <w:rsid w:val="00695935"/>
    <w:rsid w:val="00697F84"/>
    <w:rsid w:val="006C02CD"/>
    <w:rsid w:val="006C222A"/>
    <w:rsid w:val="006E7AC4"/>
    <w:rsid w:val="006E7EA4"/>
    <w:rsid w:val="006F6247"/>
    <w:rsid w:val="007006B6"/>
    <w:rsid w:val="0070294D"/>
    <w:rsid w:val="0072428A"/>
    <w:rsid w:val="007269EE"/>
    <w:rsid w:val="00737BD8"/>
    <w:rsid w:val="007452AB"/>
    <w:rsid w:val="00765FA6"/>
    <w:rsid w:val="007A2C05"/>
    <w:rsid w:val="007A43F5"/>
    <w:rsid w:val="007C733F"/>
    <w:rsid w:val="007D344D"/>
    <w:rsid w:val="007F5BDF"/>
    <w:rsid w:val="007F5EE5"/>
    <w:rsid w:val="00803B80"/>
    <w:rsid w:val="00807158"/>
    <w:rsid w:val="008124C7"/>
    <w:rsid w:val="0083674A"/>
    <w:rsid w:val="0084326F"/>
    <w:rsid w:val="0085285D"/>
    <w:rsid w:val="00853973"/>
    <w:rsid w:val="00867184"/>
    <w:rsid w:val="00880675"/>
    <w:rsid w:val="00891B15"/>
    <w:rsid w:val="008955BD"/>
    <w:rsid w:val="008A79A5"/>
    <w:rsid w:val="008D18BF"/>
    <w:rsid w:val="008D6145"/>
    <w:rsid w:val="008D747C"/>
    <w:rsid w:val="008E2932"/>
    <w:rsid w:val="008E35E9"/>
    <w:rsid w:val="008F3971"/>
    <w:rsid w:val="0090054A"/>
    <w:rsid w:val="0090317F"/>
    <w:rsid w:val="00931A42"/>
    <w:rsid w:val="009379D1"/>
    <w:rsid w:val="009507D8"/>
    <w:rsid w:val="009514E5"/>
    <w:rsid w:val="00993EAA"/>
    <w:rsid w:val="00996C61"/>
    <w:rsid w:val="009B2256"/>
    <w:rsid w:val="009D1504"/>
    <w:rsid w:val="009D2C12"/>
    <w:rsid w:val="009E216D"/>
    <w:rsid w:val="009E3C5B"/>
    <w:rsid w:val="009E5171"/>
    <w:rsid w:val="00A05F6F"/>
    <w:rsid w:val="00A06420"/>
    <w:rsid w:val="00A064B3"/>
    <w:rsid w:val="00A12491"/>
    <w:rsid w:val="00A17758"/>
    <w:rsid w:val="00A26463"/>
    <w:rsid w:val="00A50A11"/>
    <w:rsid w:val="00A52410"/>
    <w:rsid w:val="00A57895"/>
    <w:rsid w:val="00A65EA5"/>
    <w:rsid w:val="00A84D22"/>
    <w:rsid w:val="00A853BA"/>
    <w:rsid w:val="00A85539"/>
    <w:rsid w:val="00A91263"/>
    <w:rsid w:val="00A95222"/>
    <w:rsid w:val="00AA64E8"/>
    <w:rsid w:val="00AB46F7"/>
    <w:rsid w:val="00AC64C8"/>
    <w:rsid w:val="00B3589D"/>
    <w:rsid w:val="00B6113B"/>
    <w:rsid w:val="00B63045"/>
    <w:rsid w:val="00B77E55"/>
    <w:rsid w:val="00B90206"/>
    <w:rsid w:val="00BA28B9"/>
    <w:rsid w:val="00BA59FE"/>
    <w:rsid w:val="00BA67BA"/>
    <w:rsid w:val="00BB46BC"/>
    <w:rsid w:val="00BB5FE7"/>
    <w:rsid w:val="00BC1EC3"/>
    <w:rsid w:val="00BC68A1"/>
    <w:rsid w:val="00BD6522"/>
    <w:rsid w:val="00BE5962"/>
    <w:rsid w:val="00C064B1"/>
    <w:rsid w:val="00C108AC"/>
    <w:rsid w:val="00C20F50"/>
    <w:rsid w:val="00C24B6E"/>
    <w:rsid w:val="00C2609C"/>
    <w:rsid w:val="00C55AAD"/>
    <w:rsid w:val="00C64A31"/>
    <w:rsid w:val="00C66B41"/>
    <w:rsid w:val="00C67C76"/>
    <w:rsid w:val="00C854F2"/>
    <w:rsid w:val="00C861E6"/>
    <w:rsid w:val="00CA1F4D"/>
    <w:rsid w:val="00CA5EAF"/>
    <w:rsid w:val="00CB1869"/>
    <w:rsid w:val="00CB2089"/>
    <w:rsid w:val="00CB54D6"/>
    <w:rsid w:val="00CE2A16"/>
    <w:rsid w:val="00CF332C"/>
    <w:rsid w:val="00CF4089"/>
    <w:rsid w:val="00CF5A01"/>
    <w:rsid w:val="00D06A10"/>
    <w:rsid w:val="00D207A0"/>
    <w:rsid w:val="00D26527"/>
    <w:rsid w:val="00D515D0"/>
    <w:rsid w:val="00D6315F"/>
    <w:rsid w:val="00D63763"/>
    <w:rsid w:val="00D857D5"/>
    <w:rsid w:val="00D918EE"/>
    <w:rsid w:val="00D9224D"/>
    <w:rsid w:val="00DB1DCC"/>
    <w:rsid w:val="00DC5BF0"/>
    <w:rsid w:val="00DD41B9"/>
    <w:rsid w:val="00E22823"/>
    <w:rsid w:val="00E4089D"/>
    <w:rsid w:val="00E42C22"/>
    <w:rsid w:val="00E71DC1"/>
    <w:rsid w:val="00E92D2D"/>
    <w:rsid w:val="00EA7DFE"/>
    <w:rsid w:val="00EB1BBA"/>
    <w:rsid w:val="00EC469B"/>
    <w:rsid w:val="00ED0575"/>
    <w:rsid w:val="00EE1636"/>
    <w:rsid w:val="00EE519C"/>
    <w:rsid w:val="00F008ED"/>
    <w:rsid w:val="00F16670"/>
    <w:rsid w:val="00F4306F"/>
    <w:rsid w:val="00F47D59"/>
    <w:rsid w:val="00F56621"/>
    <w:rsid w:val="00F67A8A"/>
    <w:rsid w:val="00F71D52"/>
    <w:rsid w:val="00F743EE"/>
    <w:rsid w:val="00F91A39"/>
    <w:rsid w:val="00F940FE"/>
    <w:rsid w:val="00F96E80"/>
    <w:rsid w:val="00FA242B"/>
    <w:rsid w:val="00FA2ABD"/>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292995"/>
    <w:rsid w:val="00461B3A"/>
    <w:rsid w:val="00544049"/>
    <w:rsid w:val="005F2690"/>
    <w:rsid w:val="00600894"/>
    <w:rsid w:val="006A25DD"/>
    <w:rsid w:val="007F6977"/>
    <w:rsid w:val="008624D3"/>
    <w:rsid w:val="00880E1B"/>
    <w:rsid w:val="008E0070"/>
    <w:rsid w:val="009B4F8E"/>
    <w:rsid w:val="009C782F"/>
    <w:rsid w:val="009D2B51"/>
    <w:rsid w:val="00C93102"/>
    <w:rsid w:val="00CF0536"/>
    <w:rsid w:val="00D52621"/>
    <w:rsid w:val="00E21CF5"/>
    <w:rsid w:val="00E8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0A7C-95AE-4964-A9D7-F8304530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1885</Words>
  <Characters>10371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Isabelle Puisoye</cp:lastModifiedBy>
  <cp:revision>33</cp:revision>
  <cp:lastPrinted>2019-09-16T13:02:00Z</cp:lastPrinted>
  <dcterms:created xsi:type="dcterms:W3CDTF">2019-10-31T08:28:00Z</dcterms:created>
  <dcterms:modified xsi:type="dcterms:W3CDTF">2020-01-30T10:23:00Z</dcterms:modified>
</cp:coreProperties>
</file>