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842"/>
        <w:gridCol w:w="3342"/>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02019" w:rsidRDefault="00B3589D" w:rsidP="00D9224D">
            <w:pPr>
              <w:rPr>
                <w:b/>
              </w:rPr>
            </w:pPr>
            <w:r w:rsidRPr="00E02019">
              <w:rPr>
                <w:b/>
              </w:rPr>
              <w:t>Action</w:t>
            </w:r>
            <w:r w:rsidR="001F3366" w:rsidRPr="00E02019">
              <w:rPr>
                <w:b/>
              </w:rPr>
              <w:t xml:space="preserve"> </w:t>
            </w:r>
            <w:r w:rsidR="00D9224D" w:rsidRPr="00E02019">
              <w:rPr>
                <w:b/>
              </w:rPr>
              <w:t>n°</w:t>
            </w:r>
            <w:r w:rsidR="00D40105">
              <w:rPr>
                <w:b/>
              </w:rPr>
              <w:t xml:space="preserve"> 2.3</w:t>
            </w:r>
          </w:p>
        </w:tc>
        <w:tc>
          <w:tcPr>
            <w:tcW w:w="6973" w:type="dxa"/>
            <w:gridSpan w:val="4"/>
            <w:tcBorders>
              <w:bottom w:val="single" w:sz="4" w:space="0" w:color="auto"/>
            </w:tcBorders>
            <w:shd w:val="clear" w:color="auto" w:fill="FFFFFF" w:themeFill="background1"/>
            <w:vAlign w:val="center"/>
          </w:tcPr>
          <w:p w:rsidR="00CF5A01" w:rsidRPr="00BA59FE" w:rsidRDefault="00E02019" w:rsidP="00E02019">
            <w:pPr>
              <w:jc w:val="center"/>
              <w:rPr>
                <w:rFonts w:ascii="Helvetica" w:hAnsi="Helvetica" w:cs="Helvetica"/>
                <w:b/>
                <w:color w:val="000000"/>
                <w:shd w:val="clear" w:color="auto" w:fill="FFFFFF"/>
              </w:rPr>
            </w:pPr>
            <w:r>
              <w:rPr>
                <w:rFonts w:ascii="Helvetica" w:hAnsi="Helvetica" w:cs="Helvetica"/>
                <w:b/>
                <w:color w:val="000000"/>
                <w:shd w:val="clear" w:color="auto" w:fill="FFFFFF"/>
              </w:rPr>
              <w:t>Déploiement territorial de la politique nationale vaccinale via l’information et la sensibilisation des acteurs et de la population</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0054F0"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001514A1">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F6247"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CE2A16" w:rsidRPr="00CB1869" w:rsidRDefault="000054F0" w:rsidP="00CB1869">
            <w:pPr>
              <w:rPr>
                <w:rFonts w:ascii="Arial" w:hAnsi="Arial" w:cs="Arial"/>
                <w:i/>
                <w:sz w:val="20"/>
                <w:szCs w:val="20"/>
              </w:rPr>
            </w:pPr>
            <w:r>
              <w:rPr>
                <w:rFonts w:ascii="Arial" w:hAnsi="Arial" w:cs="Arial"/>
                <w:i/>
                <w:sz w:val="20"/>
                <w:szCs w:val="20"/>
              </w:rPr>
              <w:t>PETR</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0054F0" w:rsidP="00CB1869">
            <w:pPr>
              <w:rPr>
                <w:rFonts w:ascii="Arial" w:hAnsi="Arial" w:cs="Arial"/>
                <w:i/>
                <w:sz w:val="20"/>
                <w:szCs w:val="20"/>
              </w:rPr>
            </w:pPr>
            <w:proofErr w:type="spellStart"/>
            <w:r>
              <w:rPr>
                <w:rFonts w:ascii="Arial" w:hAnsi="Arial" w:cs="Arial"/>
                <w:i/>
                <w:sz w:val="20"/>
                <w:szCs w:val="20"/>
              </w:rPr>
              <w:t>Celine</w:t>
            </w:r>
            <w:proofErr w:type="spellEnd"/>
            <w:r>
              <w:rPr>
                <w:rFonts w:ascii="Arial" w:hAnsi="Arial" w:cs="Arial"/>
                <w:i/>
                <w:sz w:val="20"/>
                <w:szCs w:val="20"/>
              </w:rPr>
              <w:t xml:space="preserve"> </w:t>
            </w:r>
            <w:proofErr w:type="spellStart"/>
            <w:r>
              <w:rPr>
                <w:rFonts w:ascii="Arial" w:hAnsi="Arial" w:cs="Arial"/>
                <w:i/>
                <w:sz w:val="20"/>
                <w:szCs w:val="20"/>
              </w:rPr>
              <w:t>Fourile</w:t>
            </w:r>
            <w:proofErr w:type="spellEnd"/>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Pr="00F743EE" w:rsidRDefault="00E02019" w:rsidP="0028752F">
            <w:pPr>
              <w:rPr>
                <w:rFonts w:ascii="Arial" w:hAnsi="Arial" w:cs="Arial"/>
                <w:b/>
                <w:bCs/>
                <w:sz w:val="20"/>
                <w:szCs w:val="20"/>
              </w:rPr>
            </w:pPr>
            <w:r>
              <w:rPr>
                <w:rFonts w:ascii="Arial" w:hAnsi="Arial" w:cs="Arial"/>
                <w:b/>
                <w:bCs/>
                <w:sz w:val="20"/>
                <w:szCs w:val="20"/>
              </w:rPr>
              <w:t xml:space="preserve">Offre de santé, Prévention et Education </w:t>
            </w:r>
            <w:r w:rsidR="0028752F">
              <w:rPr>
                <w:rFonts w:ascii="Arial" w:hAnsi="Arial" w:cs="Arial"/>
                <w:b/>
                <w:bCs/>
                <w:sz w:val="20"/>
                <w:szCs w:val="20"/>
              </w:rPr>
              <w:t>T</w:t>
            </w:r>
            <w:r>
              <w:rPr>
                <w:rFonts w:ascii="Arial" w:hAnsi="Arial" w:cs="Arial"/>
                <w:b/>
                <w:bCs/>
                <w:sz w:val="20"/>
                <w:szCs w:val="20"/>
              </w:rPr>
              <w:t>hérapeutique</w:t>
            </w:r>
          </w:p>
        </w:tc>
      </w:tr>
      <w:tr w:rsidR="00354DE9" w:rsidRPr="00354DE9" w:rsidTr="00C55AAD">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rsidR="00867184" w:rsidRDefault="00FC57E5" w:rsidP="00F16670">
            <w:pPr>
              <w:rPr>
                <w:rFonts w:ascii="Arial" w:hAnsi="Arial" w:cs="Arial"/>
                <w:sz w:val="20"/>
                <w:szCs w:val="20"/>
              </w:rPr>
            </w:pPr>
            <w:r>
              <w:rPr>
                <w:rFonts w:ascii="Arial" w:hAnsi="Arial" w:cs="Arial"/>
                <w:sz w:val="20"/>
                <w:szCs w:val="20"/>
              </w:rPr>
              <w:t>Renforcer la couverture vaccinale est un enjeu de santé publique.</w:t>
            </w:r>
          </w:p>
          <w:p w:rsidR="00FC57E5" w:rsidRDefault="00FC57E5" w:rsidP="00F16670">
            <w:pPr>
              <w:rPr>
                <w:rFonts w:ascii="Arial" w:hAnsi="Arial" w:cs="Arial"/>
                <w:sz w:val="20"/>
                <w:szCs w:val="20"/>
              </w:rPr>
            </w:pPr>
          </w:p>
          <w:p w:rsidR="00FC57E5" w:rsidRDefault="00FC57E5" w:rsidP="00515952">
            <w:pPr>
              <w:jc w:val="both"/>
              <w:rPr>
                <w:rFonts w:ascii="Arial" w:hAnsi="Arial" w:cs="Arial"/>
                <w:sz w:val="20"/>
                <w:szCs w:val="20"/>
              </w:rPr>
            </w:pPr>
            <w:r>
              <w:rPr>
                <w:rFonts w:ascii="Arial" w:hAnsi="Arial" w:cs="Arial"/>
                <w:sz w:val="20"/>
                <w:szCs w:val="20"/>
              </w:rPr>
              <w:t>En territoire rural, qui représente une grande partie du Pays de Saverne Plaine et Plateau, l’isolement et la faible densité médicale représente un frein à une sensibilisation des populations à la vaccination.</w:t>
            </w:r>
          </w:p>
          <w:p w:rsidR="00D9224D" w:rsidRPr="00BA59FE" w:rsidRDefault="00D9224D" w:rsidP="00F16670">
            <w:pPr>
              <w:rPr>
                <w:rFonts w:ascii="Arial" w:hAnsi="Arial" w:cs="Arial"/>
                <w:sz w:val="20"/>
                <w:szCs w:val="20"/>
              </w:rPr>
            </w:pP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0054F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Objectif 01.4 - Renforcer les actions de prévention et de</w:t>
                </w:r>
                <w:r w:rsidR="0028752F">
                  <w:rPr>
                    <w:rFonts w:ascii="Arial" w:hAnsi="Arial" w:cs="Arial"/>
                    <w:sz w:val="20"/>
                    <w:szCs w:val="20"/>
                  </w:rPr>
                  <w:t xml:space="preserve"> </w:t>
                </w:r>
                <w:r>
                  <w:rPr>
                    <w:rFonts w:ascii="Arial" w:hAnsi="Arial" w:cs="Arial"/>
                    <w:sz w:val="20"/>
                    <w:szCs w:val="20"/>
                  </w:rPr>
                  <w:t xml:space="preserve"> promotion de la santé chez l’enfant et l’adolescent : Garantir le succès de la politique vaccinale nationale</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867184" w:rsidRPr="00E92D2D" w:rsidRDefault="00F91A39" w:rsidP="0028752F">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28752F"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p>
          <w:p w:rsidR="009B2256" w:rsidRDefault="0028752F" w:rsidP="009B2256">
            <w:pPr>
              <w:tabs>
                <w:tab w:val="left" w:pos="4501"/>
              </w:tabs>
              <w:rPr>
                <w:rFonts w:ascii="Arial" w:hAnsi="Arial" w:cs="Arial"/>
                <w:sz w:val="20"/>
                <w:szCs w:val="20"/>
              </w:rPr>
            </w:pPr>
            <w:r>
              <w:rPr>
                <w:rFonts w:ascii="Arial" w:hAnsi="Arial" w:cs="Arial"/>
                <w:sz w:val="20"/>
                <w:szCs w:val="20"/>
              </w:rPr>
              <w:t xml:space="preserve">                  </w:t>
            </w:r>
            <w:r w:rsidR="009B2256">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0054F0"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28752F">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28752F">
            <w:pPr>
              <w:rPr>
                <w:rFonts w:ascii="Arial" w:hAnsi="Arial" w:cs="Arial"/>
                <w:b/>
                <w:sz w:val="20"/>
                <w:szCs w:val="20"/>
              </w:rPr>
            </w:pPr>
            <w:r>
              <w:rPr>
                <w:rFonts w:ascii="Arial" w:hAnsi="Arial" w:cs="Arial"/>
                <w:b/>
                <w:sz w:val="20"/>
                <w:szCs w:val="20"/>
              </w:rPr>
              <w:t xml:space="preserve">Objectif </w:t>
            </w:r>
            <w:proofErr w:type="gramStart"/>
            <w:r>
              <w:rPr>
                <w:rFonts w:ascii="Arial" w:hAnsi="Arial" w:cs="Arial"/>
                <w:b/>
                <w:sz w:val="20"/>
                <w:szCs w:val="20"/>
              </w:rPr>
              <w:t>général</w:t>
            </w:r>
            <w:proofErr w:type="gramEnd"/>
            <w:r w:rsidR="0028752F">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5C6B90" w:rsidRPr="00354DE9" w:rsidRDefault="00D2006E" w:rsidP="00F16670">
            <w:pPr>
              <w:rPr>
                <w:rFonts w:ascii="Arial" w:hAnsi="Arial" w:cs="Arial"/>
                <w:sz w:val="20"/>
                <w:szCs w:val="20"/>
              </w:rPr>
            </w:pPr>
            <w:r>
              <w:rPr>
                <w:rFonts w:ascii="Arial" w:hAnsi="Arial" w:cs="Arial"/>
                <w:sz w:val="20"/>
                <w:szCs w:val="20"/>
              </w:rPr>
              <w:t>Renforcer la couverture vaccinale</w:t>
            </w:r>
          </w:p>
        </w:tc>
      </w:tr>
      <w:tr w:rsidR="00354DE9" w:rsidRPr="00354DE9" w:rsidTr="00EE1636">
        <w:trPr>
          <w:jc w:val="center"/>
        </w:trPr>
        <w:tc>
          <w:tcPr>
            <w:tcW w:w="2547" w:type="dxa"/>
            <w:shd w:val="clear" w:color="auto" w:fill="FFFFFF" w:themeFill="background1"/>
            <w:vAlign w:val="center"/>
          </w:tcPr>
          <w:p w:rsidR="009507D8" w:rsidRPr="00354DE9" w:rsidRDefault="009507D8" w:rsidP="0028752F">
            <w:pPr>
              <w:rPr>
                <w:rFonts w:ascii="Arial" w:hAnsi="Arial" w:cs="Arial"/>
                <w:b/>
                <w:sz w:val="20"/>
                <w:szCs w:val="20"/>
              </w:rPr>
            </w:pPr>
            <w:r w:rsidRPr="00354DE9">
              <w:rPr>
                <w:rFonts w:ascii="Arial" w:hAnsi="Arial" w:cs="Arial"/>
                <w:b/>
                <w:sz w:val="20"/>
                <w:szCs w:val="20"/>
              </w:rPr>
              <w:t xml:space="preserve">Objectifs </w:t>
            </w:r>
            <w:proofErr w:type="gramStart"/>
            <w:r w:rsidR="00354DE9" w:rsidRPr="00354DE9">
              <w:rPr>
                <w:rFonts w:ascii="Arial" w:hAnsi="Arial" w:cs="Arial"/>
                <w:b/>
                <w:sz w:val="20"/>
                <w:szCs w:val="20"/>
              </w:rPr>
              <w:t>spécifiques</w:t>
            </w:r>
            <w:proofErr w:type="gramEnd"/>
            <w:r w:rsidR="0028752F">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0054F0" w:rsidRPr="00872819" w:rsidRDefault="000054F0" w:rsidP="00872819">
            <w:pPr>
              <w:rPr>
                <w:rFonts w:ascii="Helvetica" w:hAnsi="Helvetica" w:cs="Helvetica"/>
                <w:b/>
                <w:bCs/>
                <w:color w:val="000000"/>
                <w:sz w:val="20"/>
                <w:szCs w:val="20"/>
                <w:shd w:val="clear" w:color="auto" w:fill="FFFFFF"/>
              </w:rPr>
            </w:pPr>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rsidR="000054F0" w:rsidRPr="000054F0" w:rsidRDefault="00FC57E5" w:rsidP="00515952">
            <w:pPr>
              <w:jc w:val="both"/>
              <w:rPr>
                <w:rFonts w:ascii="Arial" w:hAnsi="Arial" w:cs="Arial"/>
                <w:sz w:val="20"/>
                <w:szCs w:val="20"/>
              </w:rPr>
            </w:pPr>
            <w:r>
              <w:rPr>
                <w:rFonts w:ascii="Arial" w:hAnsi="Arial" w:cs="Arial"/>
                <w:sz w:val="20"/>
                <w:szCs w:val="20"/>
              </w:rPr>
              <w:t xml:space="preserve">- </w:t>
            </w:r>
            <w:r w:rsidR="000054F0" w:rsidRPr="000054F0">
              <w:rPr>
                <w:rFonts w:ascii="Arial" w:hAnsi="Arial" w:cs="Arial"/>
                <w:sz w:val="20"/>
                <w:szCs w:val="20"/>
              </w:rPr>
              <w:t>Relayer en proximité les campagnes nationales sur la vaccination</w:t>
            </w:r>
            <w:r w:rsidR="00515952">
              <w:rPr>
                <w:rFonts w:ascii="Arial" w:hAnsi="Arial" w:cs="Arial"/>
                <w:sz w:val="20"/>
                <w:szCs w:val="20"/>
              </w:rPr>
              <w:t> ;</w:t>
            </w:r>
          </w:p>
          <w:p w:rsidR="00515952" w:rsidRDefault="00FC57E5" w:rsidP="00515952">
            <w:pPr>
              <w:jc w:val="both"/>
              <w:rPr>
                <w:rFonts w:ascii="Arial" w:hAnsi="Arial" w:cs="Arial"/>
                <w:sz w:val="20"/>
                <w:szCs w:val="20"/>
              </w:rPr>
            </w:pPr>
            <w:r>
              <w:rPr>
                <w:rFonts w:ascii="Arial" w:hAnsi="Arial" w:cs="Arial"/>
                <w:sz w:val="20"/>
                <w:szCs w:val="20"/>
              </w:rPr>
              <w:t xml:space="preserve">- </w:t>
            </w:r>
            <w:r w:rsidR="000054F0" w:rsidRPr="000054F0">
              <w:rPr>
                <w:rFonts w:ascii="Arial" w:hAnsi="Arial" w:cs="Arial"/>
                <w:sz w:val="20"/>
                <w:szCs w:val="20"/>
              </w:rPr>
              <w:t>Réaliser chaque anné</w:t>
            </w:r>
            <w:r w:rsidR="000054F0">
              <w:rPr>
                <w:rFonts w:ascii="Arial" w:hAnsi="Arial" w:cs="Arial"/>
                <w:sz w:val="20"/>
                <w:szCs w:val="20"/>
              </w:rPr>
              <w:t>e une ou plusieurs actions</w:t>
            </w:r>
            <w:r w:rsidR="000054F0" w:rsidRPr="000054F0">
              <w:rPr>
                <w:rFonts w:ascii="Arial" w:hAnsi="Arial" w:cs="Arial"/>
                <w:sz w:val="20"/>
                <w:szCs w:val="20"/>
              </w:rPr>
              <w:t xml:space="preserve"> sur le thème de la</w:t>
            </w:r>
          </w:p>
          <w:p w:rsidR="00FC57E5" w:rsidRDefault="0028752F" w:rsidP="00515952">
            <w:pPr>
              <w:jc w:val="both"/>
              <w:rPr>
                <w:rFonts w:ascii="Arial" w:hAnsi="Arial" w:cs="Arial"/>
                <w:sz w:val="20"/>
                <w:szCs w:val="20"/>
              </w:rPr>
            </w:pPr>
            <w:r>
              <w:rPr>
                <w:rFonts w:ascii="Arial" w:hAnsi="Arial" w:cs="Arial"/>
                <w:sz w:val="20"/>
                <w:szCs w:val="20"/>
              </w:rPr>
              <w:t xml:space="preserve">  </w:t>
            </w:r>
            <w:r w:rsidR="000054F0" w:rsidRPr="000054F0">
              <w:rPr>
                <w:rFonts w:ascii="Arial" w:hAnsi="Arial" w:cs="Arial"/>
                <w:sz w:val="20"/>
                <w:szCs w:val="20"/>
              </w:rPr>
              <w:t>vaccination en comp</w:t>
            </w:r>
            <w:r w:rsidR="00FC57E5">
              <w:rPr>
                <w:rFonts w:ascii="Arial" w:hAnsi="Arial" w:cs="Arial"/>
                <w:sz w:val="20"/>
                <w:szCs w:val="20"/>
              </w:rPr>
              <w:t>lément des campagnes nationales</w:t>
            </w:r>
            <w:r w:rsidR="00515952">
              <w:rPr>
                <w:rFonts w:ascii="Arial" w:hAnsi="Arial" w:cs="Arial"/>
                <w:sz w:val="20"/>
                <w:szCs w:val="20"/>
              </w:rPr>
              <w:t> ;</w:t>
            </w:r>
          </w:p>
          <w:p w:rsidR="00A84D22" w:rsidRPr="00354DE9" w:rsidRDefault="00FC57E5" w:rsidP="00515952">
            <w:pPr>
              <w:jc w:val="both"/>
              <w:rPr>
                <w:rFonts w:ascii="Arial" w:hAnsi="Arial" w:cs="Arial"/>
                <w:sz w:val="20"/>
                <w:szCs w:val="20"/>
              </w:rPr>
            </w:pPr>
            <w:r>
              <w:rPr>
                <w:rFonts w:ascii="Arial" w:hAnsi="Arial" w:cs="Arial"/>
                <w:sz w:val="20"/>
                <w:szCs w:val="20"/>
              </w:rPr>
              <w:t xml:space="preserve">- </w:t>
            </w:r>
            <w:r w:rsidR="000054F0" w:rsidRPr="000054F0">
              <w:rPr>
                <w:rFonts w:ascii="Arial" w:hAnsi="Arial" w:cs="Arial"/>
                <w:sz w:val="20"/>
                <w:szCs w:val="20"/>
              </w:rPr>
              <w:t>Déployer l’expérimentation régionale sur la vaccination HPV</w:t>
            </w:r>
            <w:r w:rsidR="00515952">
              <w:rPr>
                <w:rFonts w:ascii="Arial" w:hAnsi="Arial" w:cs="Arial"/>
                <w:sz w:val="20"/>
                <w:szCs w:val="20"/>
              </w:rPr>
              <w:t>.</w:t>
            </w: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rsidR="00872819" w:rsidRDefault="00872819" w:rsidP="00D9224D">
            <w:pPr>
              <w:spacing w:line="253" w:lineRule="atLeast"/>
              <w:rPr>
                <w:rFonts w:ascii="Arial" w:hAnsi="Arial" w:cs="Arial"/>
                <w:sz w:val="20"/>
                <w:szCs w:val="20"/>
              </w:rPr>
            </w:pPr>
            <w:r>
              <w:rPr>
                <w:rFonts w:ascii="Arial" w:hAnsi="Arial" w:cs="Arial"/>
                <w:sz w:val="20"/>
                <w:szCs w:val="20"/>
              </w:rPr>
              <w:t xml:space="preserve">2020 : mise en place d’un groupe projet </w:t>
            </w:r>
            <w:r w:rsidR="00E02019">
              <w:rPr>
                <w:rFonts w:ascii="Arial" w:hAnsi="Arial" w:cs="Arial"/>
                <w:sz w:val="20"/>
                <w:szCs w:val="20"/>
              </w:rPr>
              <w:t>réunissant les partenaires</w:t>
            </w:r>
            <w:r w:rsidR="00E2077C">
              <w:rPr>
                <w:rFonts w:ascii="Arial" w:hAnsi="Arial" w:cs="Arial"/>
                <w:sz w:val="20"/>
                <w:szCs w:val="20"/>
              </w:rPr>
              <w:t>.</w:t>
            </w:r>
            <w:r w:rsidR="00E02019">
              <w:rPr>
                <w:rFonts w:ascii="Arial" w:hAnsi="Arial" w:cs="Arial"/>
                <w:sz w:val="20"/>
                <w:szCs w:val="20"/>
              </w:rPr>
              <w:t xml:space="preserve"> </w:t>
            </w:r>
          </w:p>
          <w:p w:rsidR="00E02019" w:rsidRDefault="00E02019" w:rsidP="00D9224D">
            <w:pPr>
              <w:spacing w:line="253" w:lineRule="atLeast"/>
              <w:rPr>
                <w:rFonts w:ascii="Arial" w:hAnsi="Arial" w:cs="Arial"/>
                <w:sz w:val="20"/>
                <w:szCs w:val="20"/>
              </w:rPr>
            </w:pPr>
          </w:p>
          <w:p w:rsidR="0057104E" w:rsidRDefault="00FC57E5" w:rsidP="00D9224D">
            <w:pPr>
              <w:spacing w:line="253" w:lineRule="atLeast"/>
              <w:rPr>
                <w:rFonts w:ascii="Arial" w:hAnsi="Arial" w:cs="Arial"/>
                <w:sz w:val="20"/>
                <w:szCs w:val="20"/>
              </w:rPr>
            </w:pPr>
            <w:r>
              <w:rPr>
                <w:rFonts w:ascii="Arial" w:hAnsi="Arial" w:cs="Arial"/>
                <w:sz w:val="20"/>
                <w:szCs w:val="20"/>
              </w:rPr>
              <w:t>Phase A </w:t>
            </w:r>
            <w:proofErr w:type="gramStart"/>
            <w:r>
              <w:rPr>
                <w:rFonts w:ascii="Arial" w:hAnsi="Arial" w:cs="Arial"/>
                <w:sz w:val="20"/>
                <w:szCs w:val="20"/>
              </w:rPr>
              <w:t>:  2020</w:t>
            </w:r>
            <w:proofErr w:type="gramEnd"/>
            <w:r w:rsidR="002621ED">
              <w:rPr>
                <w:rFonts w:ascii="Arial" w:hAnsi="Arial" w:cs="Arial"/>
                <w:sz w:val="20"/>
                <w:szCs w:val="20"/>
              </w:rPr>
              <w:t>-2022</w:t>
            </w:r>
            <w:r w:rsidR="0028752F">
              <w:rPr>
                <w:rFonts w:ascii="Arial" w:hAnsi="Arial" w:cs="Arial"/>
                <w:sz w:val="20"/>
                <w:szCs w:val="20"/>
              </w:rPr>
              <w:t> : Expé</w:t>
            </w:r>
            <w:r>
              <w:rPr>
                <w:rFonts w:ascii="Arial" w:hAnsi="Arial" w:cs="Arial"/>
                <w:sz w:val="20"/>
                <w:szCs w:val="20"/>
              </w:rPr>
              <w:t>rimentation vaccination HPV des jeunes filles</w:t>
            </w:r>
            <w:r w:rsidR="00E2077C">
              <w:rPr>
                <w:rFonts w:ascii="Arial" w:hAnsi="Arial" w:cs="Arial"/>
                <w:sz w:val="20"/>
                <w:szCs w:val="20"/>
              </w:rPr>
              <w:br/>
              <w:t xml:space="preserve">                                     </w:t>
            </w:r>
            <w:r>
              <w:rPr>
                <w:rFonts w:ascii="Arial" w:hAnsi="Arial" w:cs="Arial"/>
                <w:sz w:val="20"/>
                <w:szCs w:val="20"/>
              </w:rPr>
              <w:t xml:space="preserve"> </w:t>
            </w:r>
            <w:r w:rsidR="00E2077C">
              <w:rPr>
                <w:rFonts w:ascii="Arial" w:hAnsi="Arial" w:cs="Arial"/>
                <w:sz w:val="20"/>
                <w:szCs w:val="20"/>
              </w:rPr>
              <w:t xml:space="preserve">de </w:t>
            </w:r>
            <w:r>
              <w:rPr>
                <w:rFonts w:ascii="Arial" w:hAnsi="Arial" w:cs="Arial"/>
                <w:sz w:val="20"/>
                <w:szCs w:val="20"/>
              </w:rPr>
              <w:t>11-13 ans</w:t>
            </w:r>
            <w:r w:rsidR="0028752F">
              <w:rPr>
                <w:rFonts w:ascii="Arial" w:hAnsi="Arial" w:cs="Arial"/>
                <w:sz w:val="20"/>
                <w:szCs w:val="20"/>
              </w:rPr>
              <w:t>.</w:t>
            </w:r>
          </w:p>
          <w:p w:rsidR="0028752F" w:rsidRDefault="0028752F" w:rsidP="00D9224D">
            <w:pPr>
              <w:spacing w:line="253" w:lineRule="atLeast"/>
              <w:rPr>
                <w:rFonts w:ascii="Arial" w:hAnsi="Arial" w:cs="Arial"/>
                <w:sz w:val="20"/>
                <w:szCs w:val="20"/>
              </w:rPr>
            </w:pPr>
          </w:p>
          <w:p w:rsidR="00FC57E5" w:rsidRPr="0028752F" w:rsidRDefault="0028752F" w:rsidP="00515952">
            <w:pPr>
              <w:spacing w:line="253" w:lineRule="atLeast"/>
              <w:jc w:val="both"/>
              <w:rPr>
                <w:rFonts w:ascii="Arial" w:hAnsi="Arial" w:cs="Arial"/>
                <w:sz w:val="20"/>
                <w:szCs w:val="20"/>
              </w:rPr>
            </w:pPr>
            <w:r>
              <w:rPr>
                <w:rFonts w:ascii="Arial" w:hAnsi="Arial" w:cs="Arial"/>
                <w:sz w:val="20"/>
                <w:szCs w:val="20"/>
              </w:rPr>
              <w:t>- I</w:t>
            </w:r>
            <w:r w:rsidR="00FC57E5" w:rsidRPr="0028752F">
              <w:rPr>
                <w:rFonts w:ascii="Arial" w:hAnsi="Arial" w:cs="Arial"/>
                <w:sz w:val="20"/>
                <w:szCs w:val="20"/>
              </w:rPr>
              <w:t>nformation/formation et sensibilisation  des professionnels de santé</w:t>
            </w:r>
            <w:r w:rsidR="00E2077C">
              <w:rPr>
                <w:rFonts w:ascii="Arial" w:hAnsi="Arial" w:cs="Arial"/>
                <w:sz w:val="20"/>
                <w:szCs w:val="20"/>
              </w:rPr>
              <w:t> ;</w:t>
            </w:r>
          </w:p>
          <w:p w:rsidR="00FC57E5" w:rsidRPr="0028752F" w:rsidRDefault="0028752F" w:rsidP="00515952">
            <w:pPr>
              <w:spacing w:line="253" w:lineRule="atLeast"/>
              <w:jc w:val="both"/>
              <w:rPr>
                <w:rFonts w:ascii="Arial" w:hAnsi="Arial" w:cs="Arial"/>
                <w:sz w:val="20"/>
                <w:szCs w:val="20"/>
              </w:rPr>
            </w:pPr>
            <w:r>
              <w:rPr>
                <w:rFonts w:ascii="Arial" w:hAnsi="Arial" w:cs="Arial"/>
                <w:sz w:val="20"/>
                <w:szCs w:val="20"/>
              </w:rPr>
              <w:t xml:space="preserve">- </w:t>
            </w:r>
            <w:r w:rsidR="00FC57E5" w:rsidRPr="0028752F">
              <w:rPr>
                <w:rFonts w:ascii="Arial" w:hAnsi="Arial" w:cs="Arial"/>
                <w:sz w:val="20"/>
                <w:szCs w:val="20"/>
              </w:rPr>
              <w:t>Envoi par l’assurance maladie d’une information aux parents</w:t>
            </w:r>
            <w:r w:rsidR="00E2077C">
              <w:rPr>
                <w:rFonts w:ascii="Arial" w:hAnsi="Arial" w:cs="Arial"/>
                <w:sz w:val="20"/>
                <w:szCs w:val="20"/>
              </w:rPr>
              <w:t> ;</w:t>
            </w:r>
          </w:p>
          <w:p w:rsidR="00515952" w:rsidRDefault="0028752F" w:rsidP="00515952">
            <w:pPr>
              <w:spacing w:line="253" w:lineRule="atLeast"/>
              <w:jc w:val="both"/>
              <w:rPr>
                <w:rFonts w:ascii="Arial" w:hAnsi="Arial" w:cs="Arial"/>
                <w:sz w:val="20"/>
                <w:szCs w:val="20"/>
              </w:rPr>
            </w:pPr>
            <w:r>
              <w:rPr>
                <w:rFonts w:ascii="Arial" w:hAnsi="Arial" w:cs="Arial"/>
                <w:sz w:val="20"/>
                <w:szCs w:val="20"/>
              </w:rPr>
              <w:t xml:space="preserve">- </w:t>
            </w:r>
            <w:r w:rsidR="00FC57E5" w:rsidRPr="0028752F">
              <w:rPr>
                <w:rFonts w:ascii="Arial" w:hAnsi="Arial" w:cs="Arial"/>
                <w:sz w:val="20"/>
                <w:szCs w:val="20"/>
              </w:rPr>
              <w:t>Organisation par la Ligue contre le Cancer et Centre Socio Culturel de</w:t>
            </w:r>
          </w:p>
          <w:p w:rsidR="00FC57E5" w:rsidRPr="0028752F" w:rsidRDefault="0028752F" w:rsidP="00515952">
            <w:pPr>
              <w:spacing w:line="253" w:lineRule="atLeast"/>
              <w:jc w:val="both"/>
              <w:rPr>
                <w:rFonts w:ascii="Arial" w:hAnsi="Arial" w:cs="Arial"/>
                <w:sz w:val="20"/>
                <w:szCs w:val="20"/>
              </w:rPr>
            </w:pPr>
            <w:r>
              <w:rPr>
                <w:rFonts w:ascii="Arial" w:hAnsi="Arial" w:cs="Arial"/>
                <w:sz w:val="20"/>
                <w:szCs w:val="20"/>
              </w:rPr>
              <w:t xml:space="preserve">  </w:t>
            </w:r>
            <w:r w:rsidR="00FC57E5" w:rsidRPr="0028752F">
              <w:rPr>
                <w:rFonts w:ascii="Arial" w:hAnsi="Arial" w:cs="Arial"/>
                <w:sz w:val="20"/>
                <w:szCs w:val="20"/>
              </w:rPr>
              <w:t xml:space="preserve">réunions d’information des parents (conférence/débat) </w:t>
            </w:r>
            <w:r w:rsidR="002621ED" w:rsidRPr="0028752F">
              <w:rPr>
                <w:rFonts w:ascii="Arial" w:hAnsi="Arial" w:cs="Arial"/>
                <w:sz w:val="20"/>
                <w:szCs w:val="20"/>
              </w:rPr>
              <w:t xml:space="preserve">sur toute la durée </w:t>
            </w:r>
            <w:r>
              <w:rPr>
                <w:rFonts w:ascii="Arial" w:hAnsi="Arial" w:cs="Arial"/>
                <w:sz w:val="20"/>
                <w:szCs w:val="20"/>
              </w:rPr>
              <w:br/>
              <w:t xml:space="preserve">  </w:t>
            </w:r>
            <w:r w:rsidR="002621ED" w:rsidRPr="0028752F">
              <w:rPr>
                <w:rFonts w:ascii="Arial" w:hAnsi="Arial" w:cs="Arial"/>
                <w:sz w:val="20"/>
                <w:szCs w:val="20"/>
              </w:rPr>
              <w:t>de l’expérimentation (2020-2022)</w:t>
            </w:r>
            <w:r w:rsidR="00E2077C">
              <w:rPr>
                <w:rFonts w:ascii="Arial" w:hAnsi="Arial" w:cs="Arial"/>
                <w:sz w:val="20"/>
                <w:szCs w:val="20"/>
              </w:rPr>
              <w:t>.</w:t>
            </w:r>
            <w:r w:rsidR="002621ED" w:rsidRPr="0028752F">
              <w:rPr>
                <w:rFonts w:ascii="Arial" w:hAnsi="Arial" w:cs="Arial"/>
                <w:sz w:val="20"/>
                <w:szCs w:val="20"/>
              </w:rPr>
              <w:t xml:space="preserve"> </w:t>
            </w:r>
          </w:p>
          <w:p w:rsidR="00C80D71" w:rsidRDefault="00FC57E5" w:rsidP="00C80D71">
            <w:pPr>
              <w:spacing w:line="253" w:lineRule="atLeast"/>
              <w:rPr>
                <w:rFonts w:ascii="Arial" w:hAnsi="Arial" w:cs="Arial"/>
                <w:sz w:val="20"/>
                <w:szCs w:val="20"/>
              </w:rPr>
            </w:pPr>
            <w:r>
              <w:rPr>
                <w:rFonts w:ascii="Arial" w:hAnsi="Arial" w:cs="Arial"/>
                <w:sz w:val="20"/>
                <w:szCs w:val="20"/>
              </w:rPr>
              <w:lastRenderedPageBreak/>
              <w:t xml:space="preserve">Phase B : </w:t>
            </w:r>
            <w:r w:rsidR="0028752F">
              <w:rPr>
                <w:rFonts w:ascii="Arial" w:hAnsi="Arial" w:cs="Arial"/>
                <w:sz w:val="20"/>
                <w:szCs w:val="20"/>
              </w:rPr>
              <w:t>D</w:t>
            </w:r>
            <w:r w:rsidR="00C80D71">
              <w:rPr>
                <w:rFonts w:ascii="Arial" w:hAnsi="Arial" w:cs="Arial"/>
                <w:sz w:val="20"/>
                <w:szCs w:val="20"/>
              </w:rPr>
              <w:t>ès 2021</w:t>
            </w:r>
            <w:r w:rsidR="0028752F">
              <w:rPr>
                <w:rFonts w:ascii="Arial" w:hAnsi="Arial" w:cs="Arial"/>
                <w:sz w:val="20"/>
                <w:szCs w:val="20"/>
              </w:rPr>
              <w:t> :</w:t>
            </w:r>
            <w:r w:rsidR="0028752F">
              <w:rPr>
                <w:rFonts w:ascii="Arial" w:hAnsi="Arial" w:cs="Arial"/>
                <w:sz w:val="20"/>
                <w:szCs w:val="20"/>
              </w:rPr>
              <w:br/>
            </w:r>
          </w:p>
          <w:p w:rsidR="00C80D71" w:rsidRPr="0028752F" w:rsidRDefault="0028752F" w:rsidP="00515952">
            <w:pPr>
              <w:spacing w:line="253" w:lineRule="atLeast"/>
              <w:jc w:val="both"/>
              <w:rPr>
                <w:rFonts w:ascii="Arial" w:hAnsi="Arial" w:cs="Arial"/>
                <w:sz w:val="20"/>
                <w:szCs w:val="20"/>
              </w:rPr>
            </w:pPr>
            <w:r>
              <w:rPr>
                <w:rFonts w:ascii="Arial" w:hAnsi="Arial" w:cs="Arial"/>
                <w:sz w:val="20"/>
                <w:szCs w:val="20"/>
              </w:rPr>
              <w:t xml:space="preserve">- </w:t>
            </w:r>
            <w:r w:rsidRPr="0028752F">
              <w:rPr>
                <w:rFonts w:ascii="Arial" w:hAnsi="Arial" w:cs="Arial"/>
                <w:sz w:val="20"/>
                <w:szCs w:val="20"/>
              </w:rPr>
              <w:t>C</w:t>
            </w:r>
            <w:r w:rsidR="00C80D71" w:rsidRPr="0028752F">
              <w:rPr>
                <w:rFonts w:ascii="Arial" w:hAnsi="Arial" w:cs="Arial"/>
                <w:sz w:val="20"/>
                <w:szCs w:val="20"/>
              </w:rPr>
              <w:t>ampagne</w:t>
            </w:r>
            <w:r w:rsidR="009B198F" w:rsidRPr="0028752F">
              <w:rPr>
                <w:rFonts w:ascii="Arial" w:hAnsi="Arial" w:cs="Arial"/>
                <w:sz w:val="20"/>
                <w:szCs w:val="20"/>
              </w:rPr>
              <w:t xml:space="preserve"> </w:t>
            </w:r>
            <w:r w:rsidR="00C80D71" w:rsidRPr="0028752F">
              <w:rPr>
                <w:rFonts w:ascii="Arial" w:hAnsi="Arial" w:cs="Arial"/>
                <w:sz w:val="20"/>
                <w:szCs w:val="20"/>
              </w:rPr>
              <w:t xml:space="preserve">de sensibilisation sur  la protection vaccinale auprès des </w:t>
            </w:r>
            <w:r>
              <w:rPr>
                <w:rFonts w:ascii="Arial" w:hAnsi="Arial" w:cs="Arial"/>
                <w:sz w:val="20"/>
                <w:szCs w:val="20"/>
              </w:rPr>
              <w:br/>
            </w:r>
            <w:r w:rsidR="00515952">
              <w:rPr>
                <w:rFonts w:ascii="Arial" w:hAnsi="Arial" w:cs="Arial"/>
                <w:sz w:val="20"/>
                <w:szCs w:val="20"/>
              </w:rPr>
              <w:t xml:space="preserve"> </w:t>
            </w:r>
            <w:r>
              <w:rPr>
                <w:rFonts w:ascii="Arial" w:hAnsi="Arial" w:cs="Arial"/>
                <w:sz w:val="20"/>
                <w:szCs w:val="20"/>
              </w:rPr>
              <w:t xml:space="preserve">  </w:t>
            </w:r>
            <w:r w:rsidR="00C80D71" w:rsidRPr="0028752F">
              <w:rPr>
                <w:rFonts w:ascii="Arial" w:hAnsi="Arial" w:cs="Arial"/>
                <w:sz w:val="20"/>
                <w:szCs w:val="20"/>
              </w:rPr>
              <w:t>partenaires sociaux et médico-sociaux du territoire, via la Plate</w:t>
            </w:r>
            <w:r>
              <w:rPr>
                <w:rFonts w:ascii="Arial" w:hAnsi="Arial" w:cs="Arial"/>
                <w:sz w:val="20"/>
                <w:szCs w:val="20"/>
              </w:rPr>
              <w:t>forme</w:t>
            </w:r>
            <w:r w:rsidR="00C80D71" w:rsidRPr="0028752F">
              <w:rPr>
                <w:rFonts w:ascii="Arial" w:hAnsi="Arial" w:cs="Arial"/>
                <w:sz w:val="20"/>
                <w:szCs w:val="20"/>
              </w:rPr>
              <w:t xml:space="preserve"> </w:t>
            </w:r>
            <w:r>
              <w:rPr>
                <w:rFonts w:ascii="Arial" w:hAnsi="Arial" w:cs="Arial"/>
                <w:sz w:val="20"/>
                <w:szCs w:val="20"/>
              </w:rPr>
              <w:br/>
              <w:t xml:space="preserve"> </w:t>
            </w:r>
            <w:r w:rsidR="00515952">
              <w:rPr>
                <w:rFonts w:ascii="Arial" w:hAnsi="Arial" w:cs="Arial"/>
                <w:sz w:val="20"/>
                <w:szCs w:val="20"/>
              </w:rPr>
              <w:t xml:space="preserve"> </w:t>
            </w:r>
            <w:r>
              <w:rPr>
                <w:rFonts w:ascii="Arial" w:hAnsi="Arial" w:cs="Arial"/>
                <w:sz w:val="20"/>
                <w:szCs w:val="20"/>
              </w:rPr>
              <w:t xml:space="preserve"> </w:t>
            </w:r>
            <w:r w:rsidR="00C80D71" w:rsidRPr="0028752F">
              <w:rPr>
                <w:rFonts w:ascii="Arial" w:hAnsi="Arial" w:cs="Arial"/>
                <w:sz w:val="20"/>
                <w:szCs w:val="20"/>
              </w:rPr>
              <w:t>Web « Sante en territoire </w:t>
            </w:r>
            <w:r w:rsidR="00C80D71" w:rsidRPr="00E2077C">
              <w:rPr>
                <w:rFonts w:ascii="Arial" w:hAnsi="Arial" w:cs="Arial"/>
                <w:sz w:val="20"/>
                <w:szCs w:val="20"/>
              </w:rPr>
              <w:t>»</w:t>
            </w:r>
            <w:r w:rsidR="009B198F" w:rsidRPr="00E2077C">
              <w:rPr>
                <w:rFonts w:ascii="Arial" w:hAnsi="Arial" w:cs="Arial"/>
                <w:sz w:val="20"/>
                <w:szCs w:val="20"/>
              </w:rPr>
              <w:t xml:space="preserve">, une réunion d’information des travailleurs </w:t>
            </w:r>
            <w:r w:rsidRPr="00E2077C">
              <w:rPr>
                <w:rFonts w:ascii="Arial" w:hAnsi="Arial" w:cs="Arial"/>
                <w:sz w:val="20"/>
                <w:szCs w:val="20"/>
              </w:rPr>
              <w:br/>
              <w:t xml:space="preserve">  </w:t>
            </w:r>
            <w:r w:rsidR="00515952">
              <w:rPr>
                <w:rFonts w:ascii="Arial" w:hAnsi="Arial" w:cs="Arial"/>
                <w:sz w:val="20"/>
                <w:szCs w:val="20"/>
              </w:rPr>
              <w:t xml:space="preserve"> </w:t>
            </w:r>
            <w:r w:rsidR="009B198F" w:rsidRPr="00E2077C">
              <w:rPr>
                <w:rFonts w:ascii="Arial" w:hAnsi="Arial" w:cs="Arial"/>
                <w:sz w:val="20"/>
                <w:szCs w:val="20"/>
              </w:rPr>
              <w:t>sociaux et éducati</w:t>
            </w:r>
            <w:r w:rsidR="00872819" w:rsidRPr="00E2077C">
              <w:rPr>
                <w:rFonts w:ascii="Arial" w:hAnsi="Arial" w:cs="Arial"/>
                <w:sz w:val="20"/>
                <w:szCs w:val="20"/>
              </w:rPr>
              <w:t xml:space="preserve">fs par </w:t>
            </w:r>
            <w:proofErr w:type="spellStart"/>
            <w:r w:rsidR="00872819" w:rsidRPr="00E2077C">
              <w:rPr>
                <w:rFonts w:ascii="Arial" w:hAnsi="Arial" w:cs="Arial"/>
                <w:sz w:val="20"/>
                <w:szCs w:val="20"/>
              </w:rPr>
              <w:t>ComCom</w:t>
            </w:r>
            <w:proofErr w:type="spellEnd"/>
            <w:r w:rsidR="009B198F" w:rsidRPr="00E2077C">
              <w:rPr>
                <w:rFonts w:ascii="Arial" w:hAnsi="Arial" w:cs="Arial"/>
                <w:sz w:val="20"/>
                <w:szCs w:val="20"/>
              </w:rPr>
              <w:t xml:space="preserve">, </w:t>
            </w:r>
            <w:r w:rsidR="00872819" w:rsidRPr="00E2077C">
              <w:rPr>
                <w:rFonts w:ascii="Arial" w:hAnsi="Arial" w:cs="Arial"/>
                <w:sz w:val="20"/>
                <w:szCs w:val="20"/>
              </w:rPr>
              <w:t xml:space="preserve"> organisation d’une « J</w:t>
            </w:r>
            <w:r w:rsidR="00C80D71" w:rsidRPr="00E2077C">
              <w:rPr>
                <w:rFonts w:ascii="Arial" w:hAnsi="Arial" w:cs="Arial"/>
                <w:sz w:val="20"/>
                <w:szCs w:val="20"/>
              </w:rPr>
              <w:t xml:space="preserve">ournée Santé </w:t>
            </w:r>
            <w:r w:rsidR="00515952">
              <w:rPr>
                <w:rFonts w:ascii="Arial" w:hAnsi="Arial" w:cs="Arial"/>
                <w:sz w:val="20"/>
                <w:szCs w:val="20"/>
              </w:rPr>
              <w:br/>
              <w:t xml:space="preserve">   </w:t>
            </w:r>
            <w:r w:rsidR="00C80D71" w:rsidRPr="00E2077C">
              <w:rPr>
                <w:rFonts w:ascii="Arial" w:hAnsi="Arial" w:cs="Arial"/>
                <w:sz w:val="20"/>
                <w:szCs w:val="20"/>
              </w:rPr>
              <w:t>en Territoire »</w:t>
            </w:r>
            <w:r w:rsidR="00872819" w:rsidRPr="00E2077C">
              <w:rPr>
                <w:rFonts w:ascii="Arial" w:hAnsi="Arial" w:cs="Arial"/>
                <w:sz w:val="20"/>
                <w:szCs w:val="20"/>
              </w:rPr>
              <w:t xml:space="preserve"> sur le thème</w:t>
            </w:r>
            <w:r w:rsidRPr="00E2077C">
              <w:rPr>
                <w:rFonts w:ascii="Arial" w:hAnsi="Arial" w:cs="Arial"/>
                <w:sz w:val="20"/>
                <w:szCs w:val="20"/>
              </w:rPr>
              <w:t>.</w:t>
            </w:r>
            <w:r w:rsidR="00872819" w:rsidRPr="0028752F">
              <w:rPr>
                <w:rFonts w:ascii="Arial" w:hAnsi="Arial" w:cs="Arial"/>
                <w:sz w:val="20"/>
                <w:szCs w:val="20"/>
              </w:rPr>
              <w:t xml:space="preserve"> </w:t>
            </w:r>
          </w:p>
          <w:p w:rsidR="00C80D71" w:rsidRDefault="00C80D71" w:rsidP="00515952">
            <w:pPr>
              <w:spacing w:line="253" w:lineRule="atLeast"/>
              <w:jc w:val="both"/>
              <w:rPr>
                <w:rFonts w:ascii="Arial" w:hAnsi="Arial" w:cs="Arial"/>
                <w:sz w:val="20"/>
                <w:szCs w:val="20"/>
              </w:rPr>
            </w:pPr>
          </w:p>
          <w:p w:rsidR="00FC57E5" w:rsidRPr="0028752F" w:rsidRDefault="0028752F" w:rsidP="00515952">
            <w:pPr>
              <w:spacing w:line="253" w:lineRule="atLeast"/>
              <w:jc w:val="both"/>
              <w:rPr>
                <w:rFonts w:ascii="Arial" w:hAnsi="Arial" w:cs="Arial"/>
                <w:sz w:val="20"/>
                <w:szCs w:val="20"/>
              </w:rPr>
            </w:pPr>
            <w:r>
              <w:rPr>
                <w:rFonts w:ascii="Arial" w:hAnsi="Arial" w:cs="Arial"/>
                <w:sz w:val="20"/>
                <w:szCs w:val="20"/>
              </w:rPr>
              <w:t xml:space="preserve">- </w:t>
            </w:r>
            <w:r w:rsidR="00515952">
              <w:rPr>
                <w:rFonts w:ascii="Arial" w:hAnsi="Arial" w:cs="Arial"/>
                <w:sz w:val="20"/>
                <w:szCs w:val="20"/>
              </w:rPr>
              <w:t xml:space="preserve"> </w:t>
            </w:r>
            <w:r>
              <w:rPr>
                <w:rFonts w:ascii="Arial" w:hAnsi="Arial" w:cs="Arial"/>
                <w:sz w:val="20"/>
                <w:szCs w:val="20"/>
              </w:rPr>
              <w:t>M</w:t>
            </w:r>
            <w:r w:rsidR="00FC57E5" w:rsidRPr="0028752F">
              <w:rPr>
                <w:rFonts w:ascii="Arial" w:hAnsi="Arial" w:cs="Arial"/>
                <w:sz w:val="20"/>
                <w:szCs w:val="20"/>
              </w:rPr>
              <w:t>ise en place d’une campagne d’affichage</w:t>
            </w:r>
            <w:r w:rsidR="00C80D71" w:rsidRPr="0028752F">
              <w:rPr>
                <w:rFonts w:ascii="Arial" w:hAnsi="Arial" w:cs="Arial"/>
                <w:sz w:val="20"/>
                <w:szCs w:val="20"/>
              </w:rPr>
              <w:t xml:space="preserve"> annuelle </w:t>
            </w:r>
            <w:r w:rsidR="00872819" w:rsidRPr="0028752F">
              <w:rPr>
                <w:rFonts w:ascii="Arial" w:hAnsi="Arial" w:cs="Arial"/>
                <w:sz w:val="20"/>
                <w:szCs w:val="20"/>
              </w:rPr>
              <w:t xml:space="preserve"> par le PETR (</w:t>
            </w:r>
            <w:r w:rsidR="00FC57E5" w:rsidRPr="0028752F">
              <w:rPr>
                <w:rFonts w:ascii="Arial" w:hAnsi="Arial" w:cs="Arial"/>
                <w:sz w:val="20"/>
                <w:szCs w:val="20"/>
              </w:rPr>
              <w:t xml:space="preserve">par les </w:t>
            </w:r>
            <w:r>
              <w:rPr>
                <w:rFonts w:ascii="Arial" w:hAnsi="Arial" w:cs="Arial"/>
                <w:sz w:val="20"/>
                <w:szCs w:val="20"/>
              </w:rPr>
              <w:br/>
              <w:t xml:space="preserve">  </w:t>
            </w:r>
            <w:r w:rsidR="00515952">
              <w:rPr>
                <w:rFonts w:ascii="Arial" w:hAnsi="Arial" w:cs="Arial"/>
                <w:sz w:val="20"/>
                <w:szCs w:val="20"/>
              </w:rPr>
              <w:t xml:space="preserve"> </w:t>
            </w:r>
            <w:r w:rsidR="00FC57E5" w:rsidRPr="0028752F">
              <w:rPr>
                <w:rFonts w:ascii="Arial" w:hAnsi="Arial" w:cs="Arial"/>
                <w:sz w:val="20"/>
                <w:szCs w:val="20"/>
              </w:rPr>
              <w:t>municipalités, les services du Conseil Départemental, les centres socio-</w:t>
            </w:r>
            <w:r>
              <w:rPr>
                <w:rFonts w:ascii="Arial" w:hAnsi="Arial" w:cs="Arial"/>
                <w:sz w:val="20"/>
                <w:szCs w:val="20"/>
              </w:rPr>
              <w:br/>
              <w:t xml:space="preserve">  </w:t>
            </w:r>
            <w:r w:rsidR="00515952">
              <w:rPr>
                <w:rFonts w:ascii="Arial" w:hAnsi="Arial" w:cs="Arial"/>
                <w:sz w:val="20"/>
                <w:szCs w:val="20"/>
              </w:rPr>
              <w:t xml:space="preserve"> </w:t>
            </w:r>
            <w:r w:rsidR="00FC57E5" w:rsidRPr="0028752F">
              <w:rPr>
                <w:rFonts w:ascii="Arial" w:hAnsi="Arial" w:cs="Arial"/>
                <w:sz w:val="20"/>
                <w:szCs w:val="20"/>
              </w:rPr>
              <w:t>culturels, les professionnels de santé</w:t>
            </w:r>
            <w:r w:rsidR="00C80D71" w:rsidRPr="0028752F">
              <w:rPr>
                <w:rFonts w:ascii="Arial" w:hAnsi="Arial" w:cs="Arial"/>
                <w:sz w:val="20"/>
                <w:szCs w:val="20"/>
              </w:rPr>
              <w:t>) en pa</w:t>
            </w:r>
            <w:r w:rsidR="00FC57E5" w:rsidRPr="0028752F">
              <w:rPr>
                <w:rFonts w:ascii="Arial" w:hAnsi="Arial" w:cs="Arial"/>
                <w:sz w:val="20"/>
                <w:szCs w:val="20"/>
              </w:rPr>
              <w:t xml:space="preserve">rallèle de la campagne </w:t>
            </w:r>
            <w:r>
              <w:rPr>
                <w:rFonts w:ascii="Arial" w:hAnsi="Arial" w:cs="Arial"/>
                <w:sz w:val="20"/>
                <w:szCs w:val="20"/>
              </w:rPr>
              <w:br/>
              <w:t xml:space="preserve">  </w:t>
            </w:r>
            <w:r w:rsidR="00515952">
              <w:rPr>
                <w:rFonts w:ascii="Arial" w:hAnsi="Arial" w:cs="Arial"/>
                <w:sz w:val="20"/>
                <w:szCs w:val="20"/>
              </w:rPr>
              <w:t xml:space="preserve"> </w:t>
            </w:r>
            <w:r w:rsidR="00FC57E5" w:rsidRPr="0028752F">
              <w:rPr>
                <w:rFonts w:ascii="Arial" w:hAnsi="Arial" w:cs="Arial"/>
                <w:sz w:val="20"/>
                <w:szCs w:val="20"/>
              </w:rPr>
              <w:t>nationale (</w:t>
            </w:r>
            <w:r w:rsidR="00C80D71" w:rsidRPr="0028752F">
              <w:rPr>
                <w:rFonts w:ascii="Arial" w:hAnsi="Arial" w:cs="Arial"/>
                <w:sz w:val="20"/>
                <w:szCs w:val="20"/>
              </w:rPr>
              <w:t xml:space="preserve">Avril : </w:t>
            </w:r>
            <w:r w:rsidR="00FC57E5" w:rsidRPr="0028752F">
              <w:rPr>
                <w:rFonts w:ascii="Arial" w:hAnsi="Arial" w:cs="Arial"/>
                <w:sz w:val="20"/>
                <w:szCs w:val="20"/>
              </w:rPr>
              <w:t xml:space="preserve">Semaine </w:t>
            </w:r>
            <w:r w:rsidR="00C80D71" w:rsidRPr="0028752F">
              <w:rPr>
                <w:rFonts w:ascii="Arial" w:hAnsi="Arial" w:cs="Arial"/>
                <w:sz w:val="20"/>
                <w:szCs w:val="20"/>
              </w:rPr>
              <w:t xml:space="preserve">de la vaccination) et de la campagne </w:t>
            </w:r>
            <w:r w:rsidR="00FC57E5" w:rsidRPr="0028752F">
              <w:rPr>
                <w:rFonts w:ascii="Arial" w:hAnsi="Arial" w:cs="Arial"/>
                <w:sz w:val="20"/>
                <w:szCs w:val="20"/>
              </w:rPr>
              <w:t xml:space="preserve">régionale </w:t>
            </w:r>
            <w:r>
              <w:rPr>
                <w:rFonts w:ascii="Arial" w:hAnsi="Arial" w:cs="Arial"/>
                <w:sz w:val="20"/>
                <w:szCs w:val="20"/>
              </w:rPr>
              <w:br/>
              <w:t xml:space="preserve">  </w:t>
            </w:r>
            <w:r w:rsidR="00515952">
              <w:rPr>
                <w:rFonts w:ascii="Arial" w:hAnsi="Arial" w:cs="Arial"/>
                <w:sz w:val="20"/>
                <w:szCs w:val="20"/>
              </w:rPr>
              <w:t xml:space="preserve"> </w:t>
            </w:r>
            <w:r w:rsidR="00FC57E5" w:rsidRPr="0028752F">
              <w:rPr>
                <w:rFonts w:ascii="Arial" w:hAnsi="Arial" w:cs="Arial"/>
                <w:sz w:val="20"/>
                <w:szCs w:val="20"/>
              </w:rPr>
              <w:t>(</w:t>
            </w:r>
            <w:r w:rsidR="00872819" w:rsidRPr="0028752F">
              <w:rPr>
                <w:rFonts w:ascii="Arial" w:hAnsi="Arial" w:cs="Arial"/>
                <w:sz w:val="20"/>
                <w:szCs w:val="20"/>
              </w:rPr>
              <w:t>A</w:t>
            </w:r>
            <w:r w:rsidR="00C80D71" w:rsidRPr="0028752F">
              <w:rPr>
                <w:rFonts w:ascii="Arial" w:hAnsi="Arial" w:cs="Arial"/>
                <w:sz w:val="20"/>
                <w:szCs w:val="20"/>
              </w:rPr>
              <w:t xml:space="preserve">utomne : </w:t>
            </w:r>
            <w:r w:rsidR="00FC57E5" w:rsidRPr="0028752F">
              <w:rPr>
                <w:rFonts w:ascii="Arial" w:hAnsi="Arial" w:cs="Arial"/>
                <w:sz w:val="20"/>
                <w:szCs w:val="20"/>
              </w:rPr>
              <w:t>vaccination contre la grippe)</w:t>
            </w:r>
            <w:r w:rsidR="00E2077C">
              <w:rPr>
                <w:rFonts w:ascii="Arial" w:hAnsi="Arial" w:cs="Arial"/>
                <w:sz w:val="20"/>
                <w:szCs w:val="20"/>
              </w:rPr>
              <w:t>.</w:t>
            </w:r>
          </w:p>
          <w:p w:rsidR="00C80D71" w:rsidRDefault="00C80D71" w:rsidP="00C80D71">
            <w:pPr>
              <w:spacing w:line="253" w:lineRule="atLeast"/>
              <w:rPr>
                <w:rFonts w:ascii="Arial" w:hAnsi="Arial" w:cs="Arial"/>
                <w:sz w:val="20"/>
                <w:szCs w:val="20"/>
              </w:rPr>
            </w:pPr>
          </w:p>
          <w:p w:rsidR="0028752F" w:rsidRDefault="00C80D71" w:rsidP="00C80D71">
            <w:pPr>
              <w:spacing w:line="253" w:lineRule="atLeast"/>
              <w:rPr>
                <w:rFonts w:ascii="Arial" w:hAnsi="Arial" w:cs="Arial"/>
                <w:sz w:val="20"/>
                <w:szCs w:val="20"/>
              </w:rPr>
            </w:pPr>
            <w:r>
              <w:rPr>
                <w:rFonts w:ascii="Arial" w:hAnsi="Arial" w:cs="Arial"/>
                <w:sz w:val="20"/>
                <w:szCs w:val="20"/>
              </w:rPr>
              <w:t xml:space="preserve">Phase C : </w:t>
            </w:r>
            <w:r w:rsidR="0028752F">
              <w:rPr>
                <w:rFonts w:ascii="Arial" w:hAnsi="Arial" w:cs="Arial"/>
                <w:sz w:val="20"/>
                <w:szCs w:val="20"/>
              </w:rPr>
              <w:t>D</w:t>
            </w:r>
            <w:r>
              <w:rPr>
                <w:rFonts w:ascii="Arial" w:hAnsi="Arial" w:cs="Arial"/>
                <w:sz w:val="20"/>
                <w:szCs w:val="20"/>
              </w:rPr>
              <w:t>ès 2021</w:t>
            </w:r>
            <w:r w:rsidR="0028752F">
              <w:rPr>
                <w:rFonts w:ascii="Arial" w:hAnsi="Arial" w:cs="Arial"/>
                <w:sz w:val="20"/>
                <w:szCs w:val="20"/>
              </w:rPr>
              <w:t xml:space="preserve"> : </w:t>
            </w:r>
            <w:r w:rsidR="0028752F">
              <w:rPr>
                <w:rFonts w:ascii="Arial" w:hAnsi="Arial" w:cs="Arial"/>
                <w:sz w:val="20"/>
                <w:szCs w:val="20"/>
              </w:rPr>
              <w:br/>
            </w:r>
          </w:p>
          <w:p w:rsidR="00C80D71" w:rsidRDefault="0028752F" w:rsidP="00515952">
            <w:pPr>
              <w:spacing w:line="253" w:lineRule="atLeast"/>
              <w:jc w:val="both"/>
              <w:rPr>
                <w:rFonts w:ascii="Arial" w:hAnsi="Arial" w:cs="Arial"/>
                <w:sz w:val="20"/>
                <w:szCs w:val="20"/>
              </w:rPr>
            </w:pPr>
            <w:r>
              <w:rPr>
                <w:rFonts w:ascii="Arial" w:hAnsi="Arial" w:cs="Arial"/>
                <w:sz w:val="20"/>
                <w:szCs w:val="20"/>
              </w:rPr>
              <w:t xml:space="preserve">- </w:t>
            </w:r>
            <w:r w:rsidR="00515952">
              <w:rPr>
                <w:rFonts w:ascii="Arial" w:hAnsi="Arial" w:cs="Arial"/>
                <w:sz w:val="20"/>
                <w:szCs w:val="20"/>
              </w:rPr>
              <w:t xml:space="preserve"> </w:t>
            </w:r>
            <w:r>
              <w:rPr>
                <w:rFonts w:ascii="Arial" w:hAnsi="Arial" w:cs="Arial"/>
                <w:sz w:val="20"/>
                <w:szCs w:val="20"/>
              </w:rPr>
              <w:t>O</w:t>
            </w:r>
            <w:r w:rsidR="00C80D71">
              <w:rPr>
                <w:rFonts w:ascii="Arial" w:hAnsi="Arial" w:cs="Arial"/>
                <w:sz w:val="20"/>
                <w:szCs w:val="20"/>
              </w:rPr>
              <w:t xml:space="preserve">rganisation d’événements en </w:t>
            </w:r>
            <w:proofErr w:type="spellStart"/>
            <w:r w:rsidR="00C80D71">
              <w:rPr>
                <w:rFonts w:ascii="Arial" w:hAnsi="Arial" w:cs="Arial"/>
                <w:sz w:val="20"/>
                <w:szCs w:val="20"/>
              </w:rPr>
              <w:t>parralèle</w:t>
            </w:r>
            <w:proofErr w:type="spellEnd"/>
            <w:r w:rsidR="00C80D71">
              <w:rPr>
                <w:rFonts w:ascii="Arial" w:hAnsi="Arial" w:cs="Arial"/>
                <w:sz w:val="20"/>
                <w:szCs w:val="20"/>
              </w:rPr>
              <w:t xml:space="preserve"> des campagnes nationales afin </w:t>
            </w:r>
            <w:r>
              <w:rPr>
                <w:rFonts w:ascii="Arial" w:hAnsi="Arial" w:cs="Arial"/>
                <w:sz w:val="20"/>
                <w:szCs w:val="20"/>
              </w:rPr>
              <w:br/>
            </w:r>
            <w:r w:rsidR="00515952">
              <w:rPr>
                <w:rFonts w:ascii="Arial" w:hAnsi="Arial" w:cs="Arial"/>
                <w:sz w:val="20"/>
                <w:szCs w:val="20"/>
              </w:rPr>
              <w:t xml:space="preserve"> </w:t>
            </w:r>
            <w:r>
              <w:rPr>
                <w:rFonts w:ascii="Arial" w:hAnsi="Arial" w:cs="Arial"/>
                <w:sz w:val="20"/>
                <w:szCs w:val="20"/>
              </w:rPr>
              <w:t xml:space="preserve">  </w:t>
            </w:r>
            <w:r w:rsidR="00515952">
              <w:rPr>
                <w:rFonts w:ascii="Arial" w:hAnsi="Arial" w:cs="Arial"/>
                <w:sz w:val="20"/>
                <w:szCs w:val="20"/>
              </w:rPr>
              <w:t xml:space="preserve"> </w:t>
            </w:r>
            <w:r w:rsidR="00C80D71">
              <w:rPr>
                <w:rFonts w:ascii="Arial" w:hAnsi="Arial" w:cs="Arial"/>
                <w:sz w:val="20"/>
                <w:szCs w:val="20"/>
              </w:rPr>
              <w:t>de renforcer l’impact de la campagne d’affiche</w:t>
            </w:r>
            <w:r>
              <w:rPr>
                <w:rFonts w:ascii="Arial" w:hAnsi="Arial" w:cs="Arial"/>
                <w:sz w:val="20"/>
                <w:szCs w:val="20"/>
              </w:rPr>
              <w:t> ;</w:t>
            </w:r>
          </w:p>
          <w:p w:rsidR="00E2077C" w:rsidRDefault="0028752F" w:rsidP="00515952">
            <w:pPr>
              <w:spacing w:line="253" w:lineRule="atLeast"/>
              <w:jc w:val="both"/>
              <w:rPr>
                <w:rFonts w:ascii="Arial" w:hAnsi="Arial" w:cs="Arial"/>
                <w:sz w:val="20"/>
                <w:szCs w:val="20"/>
              </w:rPr>
            </w:pPr>
            <w:r>
              <w:rPr>
                <w:rFonts w:ascii="Arial" w:hAnsi="Arial" w:cs="Arial"/>
                <w:sz w:val="20"/>
                <w:szCs w:val="20"/>
              </w:rPr>
              <w:t>-</w:t>
            </w:r>
            <w:r w:rsidR="00515952">
              <w:rPr>
                <w:rFonts w:ascii="Arial" w:hAnsi="Arial" w:cs="Arial"/>
                <w:sz w:val="20"/>
                <w:szCs w:val="20"/>
              </w:rPr>
              <w:t xml:space="preserve"> </w:t>
            </w:r>
            <w:r>
              <w:rPr>
                <w:rFonts w:ascii="Arial" w:hAnsi="Arial" w:cs="Arial"/>
                <w:sz w:val="20"/>
                <w:szCs w:val="20"/>
              </w:rPr>
              <w:t>S</w:t>
            </w:r>
            <w:r w:rsidR="00C80D71" w:rsidRPr="0028752F">
              <w:rPr>
                <w:rFonts w:ascii="Arial" w:hAnsi="Arial" w:cs="Arial"/>
                <w:sz w:val="20"/>
                <w:szCs w:val="20"/>
              </w:rPr>
              <w:t>averne 2021</w:t>
            </w:r>
            <w:r>
              <w:rPr>
                <w:rFonts w:ascii="Arial" w:hAnsi="Arial" w:cs="Arial"/>
                <w:sz w:val="20"/>
                <w:szCs w:val="20"/>
              </w:rPr>
              <w:t xml:space="preserve"> : </w:t>
            </w:r>
            <w:r w:rsidR="00C80D71" w:rsidRPr="0028752F">
              <w:rPr>
                <w:rFonts w:ascii="Arial" w:hAnsi="Arial" w:cs="Arial"/>
                <w:sz w:val="20"/>
                <w:szCs w:val="20"/>
              </w:rPr>
              <w:t>accueil de l’action « Ville Infos Vaccinations »</w:t>
            </w:r>
            <w:r>
              <w:rPr>
                <w:rFonts w:ascii="Arial" w:hAnsi="Arial" w:cs="Arial"/>
                <w:sz w:val="20"/>
                <w:szCs w:val="20"/>
              </w:rPr>
              <w:t> ;</w:t>
            </w:r>
            <w:r>
              <w:rPr>
                <w:rFonts w:ascii="Arial" w:hAnsi="Arial" w:cs="Arial"/>
                <w:sz w:val="20"/>
                <w:szCs w:val="20"/>
              </w:rPr>
              <w:br/>
              <w:t xml:space="preserve">- </w:t>
            </w:r>
            <w:r w:rsidR="00515952">
              <w:rPr>
                <w:rFonts w:ascii="Arial" w:hAnsi="Arial" w:cs="Arial"/>
                <w:sz w:val="20"/>
                <w:szCs w:val="20"/>
              </w:rPr>
              <w:t xml:space="preserve">  </w:t>
            </w:r>
            <w:r>
              <w:rPr>
                <w:rFonts w:ascii="Arial" w:hAnsi="Arial" w:cs="Arial"/>
                <w:sz w:val="20"/>
                <w:szCs w:val="20"/>
              </w:rPr>
              <w:t>M</w:t>
            </w:r>
            <w:r w:rsidR="00C80D71">
              <w:rPr>
                <w:rFonts w:ascii="Arial" w:hAnsi="Arial" w:cs="Arial"/>
                <w:sz w:val="20"/>
                <w:szCs w:val="20"/>
              </w:rPr>
              <w:t xml:space="preserve">ise en place </w:t>
            </w:r>
            <w:r w:rsidRPr="00E2077C">
              <w:rPr>
                <w:rFonts w:ascii="Arial" w:hAnsi="Arial" w:cs="Arial"/>
                <w:sz w:val="20"/>
                <w:szCs w:val="20"/>
              </w:rPr>
              <w:t xml:space="preserve">de </w:t>
            </w:r>
            <w:r w:rsidR="00C80D71" w:rsidRPr="00E2077C">
              <w:rPr>
                <w:rFonts w:ascii="Arial" w:hAnsi="Arial" w:cs="Arial"/>
                <w:sz w:val="20"/>
                <w:szCs w:val="20"/>
              </w:rPr>
              <w:t xml:space="preserve">planning et </w:t>
            </w:r>
            <w:r w:rsidRPr="00E2077C">
              <w:rPr>
                <w:rFonts w:ascii="Arial" w:hAnsi="Arial" w:cs="Arial"/>
                <w:sz w:val="20"/>
                <w:szCs w:val="20"/>
              </w:rPr>
              <w:t>d’</w:t>
            </w:r>
            <w:r w:rsidR="00C80D71" w:rsidRPr="00E2077C">
              <w:rPr>
                <w:rFonts w:ascii="Arial" w:hAnsi="Arial" w:cs="Arial"/>
                <w:sz w:val="20"/>
                <w:szCs w:val="20"/>
              </w:rPr>
              <w:t>animation</w:t>
            </w:r>
            <w:r w:rsidRPr="00E2077C">
              <w:rPr>
                <w:rFonts w:ascii="Arial" w:hAnsi="Arial" w:cs="Arial"/>
                <w:sz w:val="20"/>
                <w:szCs w:val="20"/>
              </w:rPr>
              <w:t> </w:t>
            </w:r>
            <w:r>
              <w:rPr>
                <w:rFonts w:ascii="Arial" w:hAnsi="Arial" w:cs="Arial"/>
                <w:sz w:val="20"/>
                <w:szCs w:val="20"/>
              </w:rPr>
              <w:t>;</w:t>
            </w:r>
            <w:r w:rsidR="00C80D71">
              <w:rPr>
                <w:rFonts w:ascii="Arial" w:hAnsi="Arial" w:cs="Arial"/>
                <w:sz w:val="20"/>
                <w:szCs w:val="20"/>
              </w:rPr>
              <w:t xml:space="preserve"> Stand d’informations lors de la </w:t>
            </w:r>
            <w:r>
              <w:rPr>
                <w:rFonts w:ascii="Arial" w:hAnsi="Arial" w:cs="Arial"/>
                <w:sz w:val="20"/>
                <w:szCs w:val="20"/>
              </w:rPr>
              <w:br/>
            </w:r>
            <w:r w:rsidR="00515952">
              <w:rPr>
                <w:rFonts w:ascii="Arial" w:hAnsi="Arial" w:cs="Arial"/>
                <w:sz w:val="20"/>
                <w:szCs w:val="20"/>
              </w:rPr>
              <w:t xml:space="preserve">  </w:t>
            </w:r>
            <w:r>
              <w:rPr>
                <w:rFonts w:ascii="Arial" w:hAnsi="Arial" w:cs="Arial"/>
                <w:sz w:val="20"/>
                <w:szCs w:val="20"/>
              </w:rPr>
              <w:t xml:space="preserve">  </w:t>
            </w:r>
            <w:r w:rsidR="00C80D71">
              <w:rPr>
                <w:rFonts w:ascii="Arial" w:hAnsi="Arial" w:cs="Arial"/>
                <w:sz w:val="20"/>
                <w:szCs w:val="20"/>
              </w:rPr>
              <w:t>semaine nationale vaccination</w:t>
            </w:r>
            <w:r w:rsidR="00E2077C">
              <w:rPr>
                <w:rFonts w:ascii="Arial" w:hAnsi="Arial" w:cs="Arial"/>
                <w:sz w:val="20"/>
                <w:szCs w:val="20"/>
              </w:rPr>
              <w:t>.</w:t>
            </w:r>
          </w:p>
          <w:p w:rsidR="00C80D71" w:rsidRPr="00C80D71" w:rsidRDefault="00C80D71" w:rsidP="0028752F">
            <w:pPr>
              <w:spacing w:line="253" w:lineRule="atLeast"/>
              <w:rPr>
                <w:rFonts w:ascii="Arial" w:hAnsi="Arial" w:cs="Arial"/>
                <w:sz w:val="20"/>
                <w:szCs w:val="20"/>
              </w:rPr>
            </w:pPr>
            <w:r>
              <w:rPr>
                <w:rFonts w:ascii="Arial" w:hAnsi="Arial" w:cs="Arial"/>
                <w:sz w:val="20"/>
                <w:szCs w:val="20"/>
              </w:rPr>
              <w:t xml:space="preserve"> </w:t>
            </w: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lastRenderedPageBreak/>
              <w:t>Durée de l’action</w:t>
            </w:r>
          </w:p>
        </w:tc>
        <w:tc>
          <w:tcPr>
            <w:tcW w:w="6973" w:type="dxa"/>
            <w:gridSpan w:val="4"/>
            <w:tcBorders>
              <w:bottom w:val="single" w:sz="4" w:space="0" w:color="auto"/>
            </w:tcBorders>
            <w:shd w:val="clear" w:color="auto" w:fill="auto"/>
            <w:vAlign w:val="center"/>
          </w:tcPr>
          <w:p w:rsidR="005C4530" w:rsidRPr="00354DE9" w:rsidRDefault="005C4530" w:rsidP="000054F0">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0054F0">
              <w:rPr>
                <w:rFonts w:ascii="Arial" w:hAnsi="Arial" w:cs="Arial"/>
                <w:sz w:val="20"/>
                <w:szCs w:val="20"/>
              </w:rPr>
              <w:fldChar w:fldCharType="begin">
                <w:ffData>
                  <w:name w:val=""/>
                  <w:enabled/>
                  <w:calcOnExit w:val="0"/>
                  <w:checkBox>
                    <w:sizeAuto/>
                    <w:default w:val="1"/>
                  </w:checkBox>
                </w:ffData>
              </w:fldChar>
            </w:r>
            <w:r w:rsidR="000054F0">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000054F0">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Début :   </w:t>
            </w:r>
            <w:r w:rsidR="000054F0">
              <w:rPr>
                <w:rFonts w:ascii="Arial" w:hAnsi="Arial" w:cs="Arial"/>
                <w:sz w:val="20"/>
                <w:szCs w:val="20"/>
              </w:rPr>
              <w:t>2020</w:t>
            </w:r>
            <w:r>
              <w:rPr>
                <w:rFonts w:ascii="Arial" w:hAnsi="Arial" w:cs="Arial"/>
                <w:sz w:val="20"/>
                <w:szCs w:val="20"/>
              </w:rPr>
              <w:t xml:space="preserve">                                          Fin : </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7F5BDF" w:rsidRDefault="000054F0" w:rsidP="00F16670">
            <w:pPr>
              <w:rPr>
                <w:rFonts w:ascii="Arial" w:hAnsi="Arial" w:cs="Arial"/>
                <w:sz w:val="20"/>
                <w:szCs w:val="20"/>
              </w:rPr>
            </w:pPr>
            <w:r>
              <w:rPr>
                <w:rFonts w:ascii="Arial" w:hAnsi="Arial" w:cs="Arial"/>
                <w:sz w:val="20"/>
                <w:szCs w:val="20"/>
              </w:rPr>
              <w:t xml:space="preserve">PMI </w:t>
            </w:r>
            <w:r w:rsidR="00E02019">
              <w:rPr>
                <w:rFonts w:ascii="Arial" w:hAnsi="Arial" w:cs="Arial"/>
                <w:sz w:val="20"/>
                <w:szCs w:val="20"/>
              </w:rPr>
              <w:t>Ouest</w:t>
            </w:r>
          </w:p>
          <w:p w:rsidR="000054F0" w:rsidRDefault="000054F0" w:rsidP="00F16670">
            <w:pPr>
              <w:rPr>
                <w:rFonts w:ascii="Arial" w:hAnsi="Arial" w:cs="Arial"/>
                <w:sz w:val="20"/>
                <w:szCs w:val="20"/>
              </w:rPr>
            </w:pPr>
            <w:r>
              <w:rPr>
                <w:rFonts w:ascii="Arial" w:hAnsi="Arial" w:cs="Arial"/>
                <w:sz w:val="20"/>
                <w:szCs w:val="20"/>
              </w:rPr>
              <w:t>ARS</w:t>
            </w:r>
          </w:p>
          <w:p w:rsidR="000054F0" w:rsidRDefault="000054F0" w:rsidP="00F16670">
            <w:pPr>
              <w:rPr>
                <w:rFonts w:ascii="Arial" w:hAnsi="Arial" w:cs="Arial"/>
                <w:sz w:val="20"/>
                <w:szCs w:val="20"/>
              </w:rPr>
            </w:pPr>
            <w:r>
              <w:rPr>
                <w:rFonts w:ascii="Arial" w:hAnsi="Arial" w:cs="Arial"/>
                <w:sz w:val="20"/>
                <w:szCs w:val="20"/>
              </w:rPr>
              <w:t>CH de Saverne</w:t>
            </w:r>
          </w:p>
          <w:p w:rsidR="000054F0" w:rsidRDefault="000054F0" w:rsidP="00F16670">
            <w:pPr>
              <w:rPr>
                <w:rFonts w:ascii="Arial" w:hAnsi="Arial" w:cs="Arial"/>
                <w:sz w:val="20"/>
                <w:szCs w:val="20"/>
              </w:rPr>
            </w:pPr>
            <w:r>
              <w:rPr>
                <w:rFonts w:ascii="Arial" w:hAnsi="Arial" w:cs="Arial"/>
                <w:sz w:val="20"/>
                <w:szCs w:val="20"/>
              </w:rPr>
              <w:t>Ville de Saverne</w:t>
            </w:r>
          </w:p>
          <w:p w:rsidR="000054F0" w:rsidRDefault="000054F0" w:rsidP="00F16670">
            <w:pPr>
              <w:rPr>
                <w:rFonts w:ascii="Arial" w:hAnsi="Arial" w:cs="Arial"/>
                <w:sz w:val="20"/>
                <w:szCs w:val="20"/>
              </w:rPr>
            </w:pPr>
            <w:proofErr w:type="spellStart"/>
            <w:r>
              <w:rPr>
                <w:rFonts w:ascii="Arial" w:hAnsi="Arial" w:cs="Arial"/>
                <w:sz w:val="20"/>
                <w:szCs w:val="20"/>
              </w:rPr>
              <w:t>ComCom</w:t>
            </w:r>
            <w:proofErr w:type="spellEnd"/>
          </w:p>
          <w:p w:rsidR="000054F0" w:rsidRPr="00354DE9" w:rsidRDefault="000054F0" w:rsidP="00F16670">
            <w:pPr>
              <w:rPr>
                <w:rFonts w:ascii="Arial" w:hAnsi="Arial" w:cs="Arial"/>
                <w:sz w:val="20"/>
                <w:szCs w:val="20"/>
              </w:rPr>
            </w:pPr>
            <w:r>
              <w:rPr>
                <w:rFonts w:ascii="Arial" w:hAnsi="Arial" w:cs="Arial"/>
                <w:sz w:val="20"/>
                <w:szCs w:val="20"/>
              </w:rPr>
              <w:t>Ligue Contre le Cancer</w:t>
            </w:r>
          </w:p>
        </w:tc>
      </w:tr>
      <w:tr w:rsidR="0046751A" w:rsidRPr="00354DE9" w:rsidTr="0028752F">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631" w:type="dxa"/>
            <w:gridSpan w:val="3"/>
            <w:shd w:val="clear" w:color="auto" w:fill="auto"/>
            <w:vAlign w:val="center"/>
          </w:tcPr>
          <w:p w:rsidR="00AC64C8" w:rsidRPr="00EA7DFE" w:rsidRDefault="00C80D7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C80D7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C80D7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C80D7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C80D7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C80D7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rsidR="0046751A" w:rsidRPr="00EA7DFE" w:rsidRDefault="00C80D7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EA7DFE">
              <w:rPr>
                <w:rFonts w:ascii="Arial" w:hAnsi="Arial" w:cs="Arial"/>
                <w:sz w:val="20"/>
                <w:szCs w:val="20"/>
              </w:rPr>
              <w:fldChar w:fldCharType="end"/>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342"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rsidR="008D747C" w:rsidRPr="00354DE9" w:rsidRDefault="008D747C"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Médico-social</w:t>
            </w:r>
          </w:p>
          <w:p w:rsidR="0046751A" w:rsidRDefault="00C80D7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46751A" w:rsidP="00BA59FE">
            <w:pPr>
              <w:tabs>
                <w:tab w:val="left" w:pos="3123"/>
              </w:tabs>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prévention et de la promotion de la santé</w:t>
            </w:r>
            <w:r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46751A" w:rsidRDefault="0046751A"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p w:rsidR="00E2077C" w:rsidRPr="00354DE9" w:rsidRDefault="00E2077C" w:rsidP="00BA59FE">
            <w:pPr>
              <w:tabs>
                <w:tab w:val="left" w:pos="3123"/>
              </w:tabs>
              <w:rPr>
                <w:rFonts w:ascii="Arial" w:hAnsi="Arial" w:cs="Arial"/>
                <w:sz w:val="20"/>
                <w:szCs w:val="20"/>
              </w:rPr>
            </w:pP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rsidR="008E2932" w:rsidRPr="00354DE9" w:rsidRDefault="009B198F" w:rsidP="00F16670">
            <w:pPr>
              <w:rPr>
                <w:rFonts w:ascii="Arial" w:hAnsi="Arial" w:cs="Arial"/>
                <w:sz w:val="20"/>
                <w:szCs w:val="20"/>
              </w:rPr>
            </w:pPr>
            <w:r>
              <w:rPr>
                <w:rFonts w:ascii="Arial" w:hAnsi="Arial" w:cs="Arial"/>
                <w:sz w:val="20"/>
                <w:szCs w:val="20"/>
              </w:rPr>
              <w:t>Pays de Saverne Plaine et Plateau</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9B198F" w:rsidRDefault="001C2DA0" w:rsidP="00F16670">
            <w:pPr>
              <w:rPr>
                <w:rFonts w:ascii="Arial" w:hAnsi="Arial" w:cs="Arial"/>
                <w:sz w:val="20"/>
                <w:szCs w:val="20"/>
              </w:rPr>
            </w:pPr>
            <w:r w:rsidRPr="00E2077C">
              <w:rPr>
                <w:rFonts w:ascii="Arial" w:hAnsi="Arial" w:cs="Arial"/>
                <w:sz w:val="20"/>
                <w:szCs w:val="20"/>
              </w:rPr>
              <w:t>2</w:t>
            </w:r>
            <w:r w:rsidR="0028752F" w:rsidRPr="00E2077C">
              <w:rPr>
                <w:rFonts w:ascii="Arial" w:hAnsi="Arial" w:cs="Arial"/>
                <w:sz w:val="20"/>
                <w:szCs w:val="20"/>
              </w:rPr>
              <w:t xml:space="preserve"> </w:t>
            </w:r>
            <w:r w:rsidRPr="00E2077C">
              <w:rPr>
                <w:rFonts w:ascii="Arial" w:hAnsi="Arial" w:cs="Arial"/>
                <w:sz w:val="20"/>
                <w:szCs w:val="20"/>
              </w:rPr>
              <w:t>300</w:t>
            </w:r>
            <w:r w:rsidR="0028752F" w:rsidRPr="00E2077C">
              <w:rPr>
                <w:rFonts w:ascii="Arial" w:hAnsi="Arial" w:cs="Arial"/>
                <w:sz w:val="20"/>
                <w:szCs w:val="20"/>
              </w:rPr>
              <w:t xml:space="preserve"> €</w:t>
            </w:r>
            <w:r w:rsidRPr="00E2077C">
              <w:rPr>
                <w:rFonts w:ascii="Arial" w:hAnsi="Arial" w:cs="Arial"/>
                <w:sz w:val="20"/>
                <w:szCs w:val="20"/>
              </w:rPr>
              <w:t xml:space="preserve"> </w:t>
            </w:r>
            <w:r w:rsidR="0028752F" w:rsidRPr="00E2077C">
              <w:rPr>
                <w:rFonts w:ascii="Arial" w:hAnsi="Arial" w:cs="Arial"/>
                <w:sz w:val="20"/>
                <w:szCs w:val="20"/>
              </w:rPr>
              <w:t xml:space="preserve">en </w:t>
            </w:r>
            <w:r w:rsidRPr="00E2077C">
              <w:rPr>
                <w:rFonts w:ascii="Arial" w:hAnsi="Arial" w:cs="Arial"/>
                <w:sz w:val="20"/>
                <w:szCs w:val="20"/>
              </w:rPr>
              <w:t>2020</w:t>
            </w:r>
          </w:p>
          <w:p w:rsidR="001C2DA0" w:rsidRDefault="001C2DA0" w:rsidP="00F16670">
            <w:pPr>
              <w:rPr>
                <w:rFonts w:ascii="Arial" w:hAnsi="Arial" w:cs="Arial"/>
                <w:sz w:val="20"/>
                <w:szCs w:val="20"/>
              </w:rPr>
            </w:pPr>
            <w:r>
              <w:rPr>
                <w:rFonts w:ascii="Arial" w:hAnsi="Arial" w:cs="Arial"/>
                <w:sz w:val="20"/>
                <w:szCs w:val="20"/>
              </w:rPr>
              <w:t>Puis 4</w:t>
            </w:r>
            <w:r w:rsidR="0028752F">
              <w:rPr>
                <w:rFonts w:ascii="Arial" w:hAnsi="Arial" w:cs="Arial"/>
                <w:sz w:val="20"/>
                <w:szCs w:val="20"/>
              </w:rPr>
              <w:t xml:space="preserve"> </w:t>
            </w:r>
            <w:r>
              <w:rPr>
                <w:rFonts w:ascii="Arial" w:hAnsi="Arial" w:cs="Arial"/>
                <w:sz w:val="20"/>
                <w:szCs w:val="20"/>
              </w:rPr>
              <w:t>500</w:t>
            </w:r>
            <w:r w:rsidR="0028752F">
              <w:rPr>
                <w:rFonts w:ascii="Arial" w:hAnsi="Arial" w:cs="Arial"/>
                <w:sz w:val="20"/>
                <w:szCs w:val="20"/>
              </w:rPr>
              <w:t xml:space="preserve"> € </w:t>
            </w:r>
            <w:r>
              <w:rPr>
                <w:rFonts w:ascii="Arial" w:hAnsi="Arial" w:cs="Arial"/>
                <w:sz w:val="20"/>
                <w:szCs w:val="20"/>
              </w:rPr>
              <w:t>/</w:t>
            </w:r>
            <w:r w:rsidR="0028752F">
              <w:rPr>
                <w:rFonts w:ascii="Arial" w:hAnsi="Arial" w:cs="Arial"/>
                <w:sz w:val="20"/>
                <w:szCs w:val="20"/>
              </w:rPr>
              <w:t xml:space="preserve"> </w:t>
            </w:r>
            <w:r>
              <w:rPr>
                <w:rFonts w:ascii="Arial" w:hAnsi="Arial" w:cs="Arial"/>
                <w:sz w:val="20"/>
                <w:szCs w:val="20"/>
              </w:rPr>
              <w:t>an</w:t>
            </w:r>
          </w:p>
          <w:p w:rsidR="009B198F" w:rsidRDefault="001C2DA0" w:rsidP="0028752F">
            <w:pPr>
              <w:rPr>
                <w:rFonts w:ascii="Arial" w:hAnsi="Arial" w:cs="Arial"/>
                <w:sz w:val="20"/>
                <w:szCs w:val="20"/>
              </w:rPr>
            </w:pPr>
            <w:r>
              <w:rPr>
                <w:rFonts w:ascii="Arial" w:hAnsi="Arial" w:cs="Arial"/>
                <w:sz w:val="20"/>
                <w:szCs w:val="20"/>
              </w:rPr>
              <w:t>Journée Santé en Territoire 2021</w:t>
            </w:r>
            <w:r w:rsidR="0028752F">
              <w:rPr>
                <w:rFonts w:ascii="Arial" w:hAnsi="Arial" w:cs="Arial"/>
                <w:sz w:val="20"/>
                <w:szCs w:val="20"/>
              </w:rPr>
              <w:t xml:space="preserve"> : </w:t>
            </w:r>
            <w:r>
              <w:rPr>
                <w:rFonts w:ascii="Arial" w:hAnsi="Arial" w:cs="Arial"/>
                <w:sz w:val="20"/>
                <w:szCs w:val="20"/>
              </w:rPr>
              <w:t>5</w:t>
            </w:r>
            <w:r w:rsidR="0028752F">
              <w:rPr>
                <w:rFonts w:ascii="Arial" w:hAnsi="Arial" w:cs="Arial"/>
                <w:sz w:val="20"/>
                <w:szCs w:val="20"/>
              </w:rPr>
              <w:t xml:space="preserve"> </w:t>
            </w:r>
            <w:r>
              <w:rPr>
                <w:rFonts w:ascii="Arial" w:hAnsi="Arial" w:cs="Arial"/>
                <w:sz w:val="20"/>
                <w:szCs w:val="20"/>
              </w:rPr>
              <w:t xml:space="preserve">000 </w:t>
            </w:r>
            <w:r w:rsidR="0028752F">
              <w:rPr>
                <w:rFonts w:ascii="Arial" w:hAnsi="Arial" w:cs="Arial"/>
                <w:sz w:val="20"/>
                <w:szCs w:val="20"/>
              </w:rPr>
              <w:t>€</w:t>
            </w:r>
          </w:p>
          <w:p w:rsidR="00E2077C" w:rsidRPr="00354DE9" w:rsidRDefault="00E2077C" w:rsidP="0028752F">
            <w:pPr>
              <w:rPr>
                <w:rFonts w:ascii="Arial" w:hAnsi="Arial" w:cs="Arial"/>
                <w:sz w:val="20"/>
                <w:szCs w:val="20"/>
              </w:rPr>
            </w:pPr>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1C2DA0" w:rsidRPr="001C2DA0" w:rsidRDefault="009B198F" w:rsidP="001C2DA0">
            <w:pPr>
              <w:rPr>
                <w:rFonts w:ascii="Arial" w:hAnsi="Arial" w:cs="Arial"/>
                <w:sz w:val="20"/>
                <w:szCs w:val="20"/>
              </w:rPr>
            </w:pPr>
            <w:r>
              <w:rPr>
                <w:rFonts w:ascii="Arial" w:hAnsi="Arial" w:cs="Arial"/>
                <w:sz w:val="20"/>
                <w:szCs w:val="20"/>
              </w:rPr>
              <w:t xml:space="preserve">ARS </w:t>
            </w:r>
            <w:r w:rsidR="001C2DA0" w:rsidRPr="001C2DA0">
              <w:rPr>
                <w:rFonts w:ascii="Arial" w:hAnsi="Arial" w:cs="Arial"/>
                <w:sz w:val="20"/>
                <w:szCs w:val="20"/>
              </w:rPr>
              <w:t xml:space="preserve">Budget Campagne information, réunions, événements </w:t>
            </w:r>
          </w:p>
          <w:p w:rsidR="00F71D52" w:rsidRDefault="001C2DA0" w:rsidP="0028752F">
            <w:pPr>
              <w:rPr>
                <w:rFonts w:ascii="Arial" w:hAnsi="Arial" w:cs="Arial"/>
                <w:sz w:val="20"/>
                <w:szCs w:val="20"/>
              </w:rPr>
            </w:pPr>
            <w:r w:rsidRPr="001C2DA0">
              <w:rPr>
                <w:rFonts w:ascii="Arial" w:hAnsi="Arial" w:cs="Arial"/>
                <w:sz w:val="20"/>
                <w:szCs w:val="20"/>
              </w:rPr>
              <w:t xml:space="preserve">Journée Santé en Territoire </w:t>
            </w:r>
            <w:r>
              <w:rPr>
                <w:rFonts w:ascii="Arial" w:hAnsi="Arial" w:cs="Arial"/>
                <w:sz w:val="20"/>
                <w:szCs w:val="20"/>
              </w:rPr>
              <w:t xml:space="preserve">2021 </w:t>
            </w:r>
            <w:r w:rsidRPr="001C2DA0">
              <w:rPr>
                <w:rFonts w:ascii="Arial" w:hAnsi="Arial" w:cs="Arial"/>
                <w:sz w:val="20"/>
                <w:szCs w:val="20"/>
              </w:rPr>
              <w:t>«Les vaccins et moi»</w:t>
            </w:r>
          </w:p>
          <w:p w:rsidR="00E2077C" w:rsidRPr="00354DE9" w:rsidRDefault="00E2077C" w:rsidP="0028752F">
            <w:pPr>
              <w:rPr>
                <w:rFonts w:ascii="Arial" w:hAnsi="Arial" w:cs="Arial"/>
                <w:sz w:val="20"/>
                <w:szCs w:val="20"/>
              </w:rPr>
            </w:pPr>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F71D52" w:rsidRDefault="009B198F" w:rsidP="00F16670">
            <w:pPr>
              <w:rPr>
                <w:rFonts w:ascii="Arial" w:hAnsi="Arial" w:cs="Arial"/>
                <w:sz w:val="20"/>
                <w:szCs w:val="20"/>
              </w:rPr>
            </w:pPr>
            <w:r>
              <w:rPr>
                <w:rFonts w:ascii="Arial" w:hAnsi="Arial" w:cs="Arial"/>
                <w:sz w:val="20"/>
                <w:szCs w:val="20"/>
              </w:rPr>
              <w:t>Locaux, personnels des collectivités</w:t>
            </w:r>
          </w:p>
          <w:p w:rsidR="009B198F" w:rsidRDefault="009B198F" w:rsidP="00F16670">
            <w:pPr>
              <w:rPr>
                <w:rFonts w:ascii="Arial" w:hAnsi="Arial" w:cs="Arial"/>
                <w:sz w:val="20"/>
                <w:szCs w:val="20"/>
              </w:rPr>
            </w:pPr>
            <w:r>
              <w:rPr>
                <w:rFonts w:ascii="Arial" w:hAnsi="Arial" w:cs="Arial"/>
                <w:sz w:val="20"/>
                <w:szCs w:val="20"/>
              </w:rPr>
              <w:t>Bénévoles de la Ligue Contre le Cancer</w:t>
            </w:r>
          </w:p>
          <w:p w:rsidR="009B198F" w:rsidRDefault="009B198F" w:rsidP="00F16670">
            <w:pPr>
              <w:rPr>
                <w:rFonts w:ascii="Arial" w:hAnsi="Arial" w:cs="Arial"/>
                <w:sz w:val="20"/>
                <w:szCs w:val="20"/>
              </w:rPr>
            </w:pPr>
            <w:r>
              <w:rPr>
                <w:rFonts w:ascii="Arial" w:hAnsi="Arial" w:cs="Arial"/>
                <w:sz w:val="20"/>
                <w:szCs w:val="20"/>
              </w:rPr>
              <w:t xml:space="preserve">Professionnels de santé </w:t>
            </w:r>
          </w:p>
          <w:p w:rsidR="00E2077C" w:rsidRPr="00354DE9" w:rsidRDefault="00E2077C" w:rsidP="00F16670">
            <w:pPr>
              <w:rPr>
                <w:rFonts w:ascii="Arial" w:hAnsi="Arial" w:cs="Arial"/>
                <w:sz w:val="20"/>
                <w:szCs w:val="20"/>
              </w:rPr>
            </w:pP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lastRenderedPageBreak/>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Accessibilité (géographique, financière, socio-culturelle,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w:t>
            </w:r>
            <w:r w:rsidR="0028752F">
              <w:rPr>
                <w:rFonts w:ascii="Arial" w:eastAsia="Times New Roman" w:hAnsi="Arial" w:cs="Arial"/>
                <w:iCs/>
                <w:sz w:val="20"/>
                <w:szCs w:val="20"/>
                <w:lang w:eastAsia="fr-FR"/>
              </w:rPr>
              <w:br/>
              <w:t xml:space="preserve">    </w:t>
            </w:r>
            <w:r w:rsidRPr="00354DE9">
              <w:rPr>
                <w:rFonts w:ascii="Arial" w:eastAsia="Times New Roman" w:hAnsi="Arial" w:cs="Arial"/>
                <w:iCs/>
                <w:sz w:val="20"/>
                <w:szCs w:val="20"/>
                <w:lang w:eastAsia="fr-FR"/>
              </w:rPr>
              <w:t xml:space="preserve"> sociales)</w:t>
            </w:r>
          </w:p>
          <w:p w:rsidR="00143098" w:rsidRPr="00354DE9" w:rsidRDefault="00143098"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1" w:name="CaseACocher61"/>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bookmarkEnd w:id="1"/>
            <w:r w:rsidRPr="00354DE9">
              <w:rPr>
                <w:rFonts w:ascii="Arial" w:eastAsia="Times New Roman" w:hAnsi="Arial" w:cs="Arial"/>
                <w:iCs/>
                <w:sz w:val="20"/>
                <w:szCs w:val="20"/>
                <w:lang w:eastAsia="fr-FR"/>
              </w:rPr>
              <w:t xml:space="preserve"> Continuité (informationnelle, relationnelle, clinique)</w:t>
            </w:r>
          </w:p>
          <w:p w:rsidR="00143098" w:rsidRPr="00354DE9" w:rsidRDefault="00143098" w:rsidP="00F16670">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9B198F"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28752F">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 xml:space="preserve">(logement, loisir, services </w:t>
            </w:r>
            <w:r w:rsidR="0028752F">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380EF5"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w:t>
            </w:r>
            <w:proofErr w:type="spellStart"/>
            <w:r w:rsidR="00143098" w:rsidRPr="00354DE9">
              <w:rPr>
                <w:rFonts w:ascii="Arial" w:eastAsia="Times New Roman" w:hAnsi="Arial" w:cs="Arial"/>
                <w:iCs/>
                <w:sz w:val="20"/>
                <w:szCs w:val="20"/>
                <w:lang w:eastAsia="fr-FR"/>
              </w:rPr>
              <w:t>Empowerment</w:t>
            </w:r>
            <w:proofErr w:type="spellEnd"/>
            <w:r w:rsidR="00143098" w:rsidRPr="00354DE9">
              <w:rPr>
                <w:rFonts w:ascii="Arial" w:eastAsia="Times New Roman" w:hAnsi="Arial" w:cs="Arial"/>
                <w:iCs/>
                <w:sz w:val="20"/>
                <w:szCs w:val="20"/>
                <w:lang w:eastAsia="fr-FR"/>
              </w:rPr>
              <w:t xml:space="preserve"> </w:t>
            </w:r>
            <w:r w:rsidR="00143098"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 xml:space="preserve">(prise en compte des déterminants de santé </w:t>
            </w:r>
            <w:r w:rsidR="0028752F">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9B198F" w:rsidP="00D9224D">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B1DCC" w:rsidRPr="00354DE9" w:rsidRDefault="00DB1DCC" w:rsidP="00DB1DCC">
            <w:pPr>
              <w:spacing w:line="253" w:lineRule="atLeast"/>
              <w:rPr>
                <w:rFonts w:ascii="Arial" w:eastAsia="Times New Roman" w:hAnsi="Arial" w:cs="Arial"/>
                <w:bCs/>
                <w:i/>
                <w:sz w:val="20"/>
                <w:szCs w:val="20"/>
                <w:lang w:eastAsia="fr-FR"/>
              </w:rPr>
            </w:pP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rsidR="00562D16" w:rsidRDefault="009B198F" w:rsidP="00D9224D">
            <w:pPr>
              <w:spacing w:line="253" w:lineRule="atLeas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515952">
              <w:rPr>
                <w:rFonts w:ascii="Arial" w:hAnsi="Arial" w:cs="Arial"/>
                <w:sz w:val="20"/>
                <w:szCs w:val="20"/>
              </w:rPr>
            </w:r>
            <w:r w:rsidR="00515952">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(Précisez)</w:t>
            </w:r>
          </w:p>
          <w:p w:rsidR="009B198F" w:rsidRPr="00354DE9" w:rsidRDefault="009B198F" w:rsidP="0028752F">
            <w:pPr>
              <w:spacing w:line="253" w:lineRule="atLeast"/>
              <w:rPr>
                <w:rFonts w:ascii="Arial" w:eastAsia="Times New Roman" w:hAnsi="Arial" w:cs="Arial"/>
                <w:bCs/>
                <w:i/>
                <w:sz w:val="20"/>
                <w:szCs w:val="20"/>
                <w:lang w:eastAsia="fr-FR"/>
              </w:rPr>
            </w:pPr>
            <w:r>
              <w:rPr>
                <w:rFonts w:ascii="Arial" w:hAnsi="Arial" w:cs="Arial"/>
                <w:sz w:val="20"/>
                <w:szCs w:val="20"/>
              </w:rPr>
              <w:t>Ev</w:t>
            </w:r>
            <w:r w:rsidR="0028752F">
              <w:rPr>
                <w:rFonts w:ascii="Arial" w:hAnsi="Arial" w:cs="Arial"/>
                <w:sz w:val="20"/>
                <w:szCs w:val="20"/>
              </w:rPr>
              <w:t>è</w:t>
            </w:r>
            <w:r>
              <w:rPr>
                <w:rFonts w:ascii="Arial" w:hAnsi="Arial" w:cs="Arial"/>
                <w:sz w:val="20"/>
                <w:szCs w:val="20"/>
              </w:rPr>
              <w:t>nements autour de la vaccination choisi</w:t>
            </w:r>
            <w:r w:rsidR="0028752F">
              <w:rPr>
                <w:rFonts w:ascii="Arial" w:hAnsi="Arial" w:cs="Arial"/>
                <w:sz w:val="20"/>
                <w:szCs w:val="20"/>
              </w:rPr>
              <w:t>s et porté</w:t>
            </w:r>
            <w:r>
              <w:rPr>
                <w:rFonts w:ascii="Arial" w:hAnsi="Arial" w:cs="Arial"/>
                <w:sz w:val="20"/>
                <w:szCs w:val="20"/>
              </w:rPr>
              <w:t xml:space="preserve">s par les </w:t>
            </w:r>
            <w:r w:rsidR="00380EF5">
              <w:rPr>
                <w:rFonts w:ascii="Arial" w:hAnsi="Arial" w:cs="Arial"/>
                <w:sz w:val="20"/>
                <w:szCs w:val="20"/>
              </w:rPr>
              <w:t xml:space="preserve">associations et les </w:t>
            </w:r>
            <w:r>
              <w:rPr>
                <w:rFonts w:ascii="Arial" w:hAnsi="Arial" w:cs="Arial"/>
                <w:sz w:val="20"/>
                <w:szCs w:val="20"/>
              </w:rPr>
              <w:t>municipalités</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Pr="00515952" w:rsidRDefault="00D9224D" w:rsidP="00236FB1">
            <w:pPr>
              <w:spacing w:line="253" w:lineRule="atLeast"/>
              <w:rPr>
                <w:rFonts w:ascii="Arial" w:hAnsi="Arial" w:cs="Arial"/>
                <w:b/>
                <w:i/>
                <w:sz w:val="12"/>
                <w:szCs w:val="20"/>
                <w:u w:val="single"/>
              </w:rPr>
            </w:pPr>
          </w:p>
          <w:p w:rsidR="00413208" w:rsidRDefault="00F71D52" w:rsidP="00F16670">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r w:rsidR="00515952">
              <w:rPr>
                <w:rFonts w:ascii="Arial" w:hAnsi="Arial" w:cs="Arial"/>
                <w:i/>
                <w:sz w:val="20"/>
                <w:szCs w:val="20"/>
              </w:rPr>
              <w:br/>
            </w:r>
            <w:r w:rsidR="009B198F">
              <w:rPr>
                <w:rFonts w:ascii="Arial" w:hAnsi="Arial" w:cs="Arial"/>
                <w:i/>
                <w:sz w:val="20"/>
                <w:szCs w:val="20"/>
              </w:rPr>
              <w:t>Nombre d’acteurs du territoire ayant participé aux réunions d’informations</w:t>
            </w:r>
          </w:p>
          <w:p w:rsidR="009B198F" w:rsidRPr="00354DE9" w:rsidRDefault="009B198F" w:rsidP="00F16670">
            <w:pPr>
              <w:spacing w:line="253" w:lineRule="atLeast"/>
              <w:rPr>
                <w:rFonts w:ascii="Arial" w:hAnsi="Arial" w:cs="Arial"/>
                <w:i/>
                <w:sz w:val="20"/>
                <w:szCs w:val="20"/>
              </w:rPr>
            </w:pPr>
            <w:r>
              <w:rPr>
                <w:rFonts w:ascii="Arial" w:hAnsi="Arial" w:cs="Arial"/>
                <w:i/>
                <w:sz w:val="20"/>
                <w:szCs w:val="20"/>
              </w:rPr>
              <w:t>Nomb</w:t>
            </w:r>
            <w:r w:rsidR="0028752F">
              <w:rPr>
                <w:rFonts w:ascii="Arial" w:hAnsi="Arial" w:cs="Arial"/>
                <w:i/>
                <w:sz w:val="20"/>
                <w:szCs w:val="20"/>
              </w:rPr>
              <w:t>re de public ayant participé à l</w:t>
            </w:r>
            <w:r>
              <w:rPr>
                <w:rFonts w:ascii="Arial" w:hAnsi="Arial" w:cs="Arial"/>
                <w:i/>
                <w:sz w:val="20"/>
                <w:szCs w:val="20"/>
              </w:rPr>
              <w:t>a journée « Santé en Territoire »</w:t>
            </w:r>
          </w:p>
          <w:p w:rsidR="00F71D52" w:rsidRDefault="00F71D52" w:rsidP="00F16670">
            <w:pPr>
              <w:spacing w:line="253" w:lineRule="atLeast"/>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p>
          <w:p w:rsidR="006C222A" w:rsidRDefault="009B198F" w:rsidP="00F16670">
            <w:pPr>
              <w:spacing w:line="253" w:lineRule="atLeast"/>
              <w:rPr>
                <w:rFonts w:ascii="Arial" w:eastAsia="Times New Roman" w:hAnsi="Arial" w:cs="Arial"/>
                <w:bCs/>
                <w:sz w:val="20"/>
                <w:szCs w:val="20"/>
                <w:lang w:eastAsia="fr-FR"/>
              </w:rPr>
            </w:pPr>
            <w:r w:rsidRPr="009B198F">
              <w:rPr>
                <w:rFonts w:ascii="Arial" w:eastAsia="Times New Roman" w:hAnsi="Arial" w:cs="Arial"/>
                <w:bCs/>
                <w:sz w:val="20"/>
                <w:szCs w:val="20"/>
                <w:lang w:eastAsia="fr-FR"/>
              </w:rPr>
              <w:t>Nombre d’événements</w:t>
            </w:r>
            <w:r>
              <w:rPr>
                <w:rFonts w:ascii="Arial" w:eastAsia="Times New Roman" w:hAnsi="Arial" w:cs="Arial"/>
                <w:bCs/>
                <w:sz w:val="20"/>
                <w:szCs w:val="20"/>
                <w:lang w:eastAsia="fr-FR"/>
              </w:rPr>
              <w:t xml:space="preserve"> initiés en territoire</w:t>
            </w:r>
          </w:p>
          <w:p w:rsidR="009B198F" w:rsidRDefault="009B198F" w:rsidP="00F16670">
            <w:pPr>
              <w:spacing w:line="253" w:lineRule="atLeast"/>
              <w:rPr>
                <w:rFonts w:ascii="Arial" w:eastAsia="Times New Roman" w:hAnsi="Arial" w:cs="Arial"/>
                <w:bCs/>
                <w:sz w:val="20"/>
                <w:szCs w:val="20"/>
                <w:lang w:eastAsia="fr-FR"/>
              </w:rPr>
            </w:pPr>
            <w:r>
              <w:rPr>
                <w:rFonts w:ascii="Arial" w:eastAsia="Times New Roman" w:hAnsi="Arial" w:cs="Arial"/>
                <w:bCs/>
                <w:sz w:val="20"/>
                <w:szCs w:val="20"/>
                <w:lang w:eastAsia="fr-FR"/>
              </w:rPr>
              <w:t>Nombre de réunions d’informations</w:t>
            </w:r>
          </w:p>
          <w:p w:rsidR="009B198F" w:rsidRPr="009B198F" w:rsidRDefault="009B198F" w:rsidP="00F16670">
            <w:pPr>
              <w:spacing w:line="253" w:lineRule="atLeast"/>
              <w:rPr>
                <w:rFonts w:ascii="Arial" w:eastAsia="Times New Roman" w:hAnsi="Arial" w:cs="Arial"/>
                <w:bCs/>
                <w:sz w:val="20"/>
                <w:szCs w:val="20"/>
                <w:lang w:eastAsia="fr-FR"/>
              </w:rPr>
            </w:pPr>
            <w:r>
              <w:rPr>
                <w:rFonts w:ascii="Arial" w:eastAsia="Times New Roman" w:hAnsi="Arial" w:cs="Arial"/>
                <w:bCs/>
                <w:sz w:val="20"/>
                <w:szCs w:val="20"/>
                <w:lang w:eastAsia="fr-FR"/>
              </w:rPr>
              <w:t xml:space="preserve">Nombre de Collectivités ayant relayé les </w:t>
            </w:r>
            <w:proofErr w:type="spellStart"/>
            <w:r>
              <w:rPr>
                <w:rFonts w:ascii="Arial" w:eastAsia="Times New Roman" w:hAnsi="Arial" w:cs="Arial"/>
                <w:bCs/>
                <w:sz w:val="20"/>
                <w:szCs w:val="20"/>
                <w:lang w:eastAsia="fr-FR"/>
              </w:rPr>
              <w:t>camapgnes</w:t>
            </w:r>
            <w:proofErr w:type="spellEnd"/>
            <w:r>
              <w:rPr>
                <w:rFonts w:ascii="Arial" w:eastAsia="Times New Roman" w:hAnsi="Arial" w:cs="Arial"/>
                <w:bCs/>
                <w:sz w:val="20"/>
                <w:szCs w:val="20"/>
                <w:lang w:eastAsia="fr-FR"/>
              </w:rPr>
              <w:t xml:space="preserve"> nationales </w:t>
            </w:r>
          </w:p>
          <w:p w:rsidR="006C222A" w:rsidRPr="00413208"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rsidR="00562D16" w:rsidRDefault="009B198F" w:rsidP="00F16670">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Evaluation de la couverture vaccinale à 5 ans sur les 3 Communautés de Communes</w:t>
            </w:r>
          </w:p>
          <w:p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EA7DFE" w:rsidRPr="00562D16" w:rsidRDefault="009B198F" w:rsidP="00E2077C">
            <w:pPr>
              <w:spacing w:line="253" w:lineRule="atLeast"/>
              <w:rPr>
                <w:rFonts w:ascii="Arial" w:eastAsia="Times New Roman" w:hAnsi="Arial" w:cs="Arial"/>
                <w:b/>
                <w:bCs/>
                <w:i/>
                <w:sz w:val="20"/>
                <w:szCs w:val="20"/>
                <w:lang w:eastAsia="fr-FR"/>
              </w:rPr>
            </w:pPr>
            <w:r w:rsidRPr="009B198F">
              <w:rPr>
                <w:rFonts w:ascii="Arial" w:eastAsia="Times New Roman" w:hAnsi="Arial" w:cs="Arial"/>
                <w:bCs/>
                <w:sz w:val="20"/>
                <w:szCs w:val="20"/>
                <w:lang w:eastAsia="fr-FR"/>
              </w:rPr>
              <w:t>Données Santé Publique France</w:t>
            </w:r>
          </w:p>
        </w:tc>
      </w:tr>
    </w:tbl>
    <w:p w:rsidR="00C55AAD" w:rsidRPr="007006B6" w:rsidRDefault="00C55AAD" w:rsidP="00CB54D6">
      <w:pPr>
        <w:spacing w:after="0" w:line="260" w:lineRule="atLeast"/>
        <w:rPr>
          <w:i/>
          <w:color w:val="7F7F7F" w:themeColor="text1" w:themeTint="80"/>
          <w:sz w:val="24"/>
          <w:highlight w:val="magenta"/>
        </w:rPr>
      </w:pPr>
      <w:bookmarkStart w:id="2" w:name="_GoBack"/>
      <w:bookmarkEnd w:id="2"/>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1C" w:rsidRDefault="0011171C" w:rsidP="000F65D0">
      <w:pPr>
        <w:spacing w:after="0" w:line="240" w:lineRule="auto"/>
      </w:pPr>
      <w:r>
        <w:separator/>
      </w:r>
    </w:p>
  </w:endnote>
  <w:endnote w:type="continuationSeparator" w:id="0">
    <w:p w:rsidR="0011171C" w:rsidRDefault="0011171C"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1C" w:rsidRDefault="0011171C" w:rsidP="000F65D0">
      <w:pPr>
        <w:spacing w:after="0" w:line="240" w:lineRule="auto"/>
      </w:pPr>
      <w:r>
        <w:separator/>
      </w:r>
    </w:p>
  </w:footnote>
  <w:footnote w:type="continuationSeparator" w:id="0">
    <w:p w:rsidR="0011171C" w:rsidRDefault="0011171C"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1DEC"/>
    <w:multiLevelType w:val="hybridMultilevel"/>
    <w:tmpl w:val="129AF028"/>
    <w:lvl w:ilvl="0" w:tplc="2362B39C">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054F0"/>
    <w:rsid w:val="000369F8"/>
    <w:rsid w:val="000415CE"/>
    <w:rsid w:val="000467C4"/>
    <w:rsid w:val="0007266E"/>
    <w:rsid w:val="00081313"/>
    <w:rsid w:val="0009071D"/>
    <w:rsid w:val="00092B06"/>
    <w:rsid w:val="00095BF8"/>
    <w:rsid w:val="000B410A"/>
    <w:rsid w:val="000D20D5"/>
    <w:rsid w:val="000F65D0"/>
    <w:rsid w:val="0011171C"/>
    <w:rsid w:val="001361D6"/>
    <w:rsid w:val="001373C9"/>
    <w:rsid w:val="00143098"/>
    <w:rsid w:val="001514A1"/>
    <w:rsid w:val="00155A3B"/>
    <w:rsid w:val="001716D6"/>
    <w:rsid w:val="001A363E"/>
    <w:rsid w:val="001B5676"/>
    <w:rsid w:val="001B66A4"/>
    <w:rsid w:val="001C2DA0"/>
    <w:rsid w:val="001D2B35"/>
    <w:rsid w:val="001D3A95"/>
    <w:rsid w:val="001D3C27"/>
    <w:rsid w:val="001F3366"/>
    <w:rsid w:val="00200CC5"/>
    <w:rsid w:val="00220C2D"/>
    <w:rsid w:val="00232B63"/>
    <w:rsid w:val="00232D46"/>
    <w:rsid w:val="002369FA"/>
    <w:rsid w:val="00236FB1"/>
    <w:rsid w:val="002621ED"/>
    <w:rsid w:val="00283654"/>
    <w:rsid w:val="0028752F"/>
    <w:rsid w:val="002A03EA"/>
    <w:rsid w:val="002B2249"/>
    <w:rsid w:val="002C3F5E"/>
    <w:rsid w:val="002C5D0C"/>
    <w:rsid w:val="002E030B"/>
    <w:rsid w:val="002E571E"/>
    <w:rsid w:val="002F13C5"/>
    <w:rsid w:val="002F799F"/>
    <w:rsid w:val="00317EE6"/>
    <w:rsid w:val="003211AB"/>
    <w:rsid w:val="00353A56"/>
    <w:rsid w:val="00354DE9"/>
    <w:rsid w:val="0036710F"/>
    <w:rsid w:val="00380EF5"/>
    <w:rsid w:val="003B50D4"/>
    <w:rsid w:val="003C1972"/>
    <w:rsid w:val="003C5A06"/>
    <w:rsid w:val="003C7858"/>
    <w:rsid w:val="003D3A7D"/>
    <w:rsid w:val="003D7039"/>
    <w:rsid w:val="003E06AB"/>
    <w:rsid w:val="003E6827"/>
    <w:rsid w:val="003F4186"/>
    <w:rsid w:val="00406721"/>
    <w:rsid w:val="00413208"/>
    <w:rsid w:val="004205F4"/>
    <w:rsid w:val="004438EA"/>
    <w:rsid w:val="004538FE"/>
    <w:rsid w:val="00454C16"/>
    <w:rsid w:val="0046751A"/>
    <w:rsid w:val="00470F3C"/>
    <w:rsid w:val="00485C93"/>
    <w:rsid w:val="00497CC6"/>
    <w:rsid w:val="004B09AF"/>
    <w:rsid w:val="004D2233"/>
    <w:rsid w:val="004E3FC8"/>
    <w:rsid w:val="00514B68"/>
    <w:rsid w:val="00515952"/>
    <w:rsid w:val="00520A61"/>
    <w:rsid w:val="005259C1"/>
    <w:rsid w:val="005279BE"/>
    <w:rsid w:val="005424C3"/>
    <w:rsid w:val="00562D16"/>
    <w:rsid w:val="00565122"/>
    <w:rsid w:val="0057104E"/>
    <w:rsid w:val="00581B8F"/>
    <w:rsid w:val="0058636E"/>
    <w:rsid w:val="005B3191"/>
    <w:rsid w:val="005C4530"/>
    <w:rsid w:val="005C6B90"/>
    <w:rsid w:val="005D223B"/>
    <w:rsid w:val="00603E4F"/>
    <w:rsid w:val="006075C2"/>
    <w:rsid w:val="00635DD5"/>
    <w:rsid w:val="00642029"/>
    <w:rsid w:val="00645F05"/>
    <w:rsid w:val="00667A06"/>
    <w:rsid w:val="00683C9E"/>
    <w:rsid w:val="00697F84"/>
    <w:rsid w:val="006C222A"/>
    <w:rsid w:val="006E7AC4"/>
    <w:rsid w:val="006E7EA4"/>
    <w:rsid w:val="006F6247"/>
    <w:rsid w:val="007006B6"/>
    <w:rsid w:val="0070294D"/>
    <w:rsid w:val="0072428A"/>
    <w:rsid w:val="00737BD8"/>
    <w:rsid w:val="007452AB"/>
    <w:rsid w:val="00765FA6"/>
    <w:rsid w:val="007A2C05"/>
    <w:rsid w:val="007A43F5"/>
    <w:rsid w:val="007C733F"/>
    <w:rsid w:val="007D344D"/>
    <w:rsid w:val="007F5BDF"/>
    <w:rsid w:val="007F5EE5"/>
    <w:rsid w:val="007F7CB1"/>
    <w:rsid w:val="008124C7"/>
    <w:rsid w:val="0083674A"/>
    <w:rsid w:val="0084326F"/>
    <w:rsid w:val="0085285D"/>
    <w:rsid w:val="00853973"/>
    <w:rsid w:val="008574FC"/>
    <w:rsid w:val="00867184"/>
    <w:rsid w:val="00872819"/>
    <w:rsid w:val="00880675"/>
    <w:rsid w:val="008955BD"/>
    <w:rsid w:val="008D6145"/>
    <w:rsid w:val="008D747C"/>
    <w:rsid w:val="008E2932"/>
    <w:rsid w:val="008E35E9"/>
    <w:rsid w:val="0090054A"/>
    <w:rsid w:val="0090317F"/>
    <w:rsid w:val="00931A42"/>
    <w:rsid w:val="009507D8"/>
    <w:rsid w:val="00993EAA"/>
    <w:rsid w:val="00996C61"/>
    <w:rsid w:val="009B198F"/>
    <w:rsid w:val="009B2256"/>
    <w:rsid w:val="009B4AE1"/>
    <w:rsid w:val="009D1504"/>
    <w:rsid w:val="009D2C12"/>
    <w:rsid w:val="009E216D"/>
    <w:rsid w:val="009E3C5B"/>
    <w:rsid w:val="009E5171"/>
    <w:rsid w:val="00A05F6F"/>
    <w:rsid w:val="00A06420"/>
    <w:rsid w:val="00A064B3"/>
    <w:rsid w:val="00A12491"/>
    <w:rsid w:val="00A17758"/>
    <w:rsid w:val="00A26463"/>
    <w:rsid w:val="00A50A11"/>
    <w:rsid w:val="00A52410"/>
    <w:rsid w:val="00A57895"/>
    <w:rsid w:val="00A65EA5"/>
    <w:rsid w:val="00A84D22"/>
    <w:rsid w:val="00A853BA"/>
    <w:rsid w:val="00A85539"/>
    <w:rsid w:val="00A91263"/>
    <w:rsid w:val="00A95222"/>
    <w:rsid w:val="00AA49B9"/>
    <w:rsid w:val="00AA64E8"/>
    <w:rsid w:val="00AB46F7"/>
    <w:rsid w:val="00AC64C8"/>
    <w:rsid w:val="00B3589D"/>
    <w:rsid w:val="00B6113B"/>
    <w:rsid w:val="00B63045"/>
    <w:rsid w:val="00B77E55"/>
    <w:rsid w:val="00B90206"/>
    <w:rsid w:val="00BA28B9"/>
    <w:rsid w:val="00BA59FE"/>
    <w:rsid w:val="00BA67BA"/>
    <w:rsid w:val="00BB46BC"/>
    <w:rsid w:val="00BC1EC3"/>
    <w:rsid w:val="00BC68A1"/>
    <w:rsid w:val="00BD6522"/>
    <w:rsid w:val="00C064B1"/>
    <w:rsid w:val="00C108AC"/>
    <w:rsid w:val="00C20F50"/>
    <w:rsid w:val="00C24B6E"/>
    <w:rsid w:val="00C55AAD"/>
    <w:rsid w:val="00C64A31"/>
    <w:rsid w:val="00C66B41"/>
    <w:rsid w:val="00C67C76"/>
    <w:rsid w:val="00C80D71"/>
    <w:rsid w:val="00C861E6"/>
    <w:rsid w:val="00CA5EAF"/>
    <w:rsid w:val="00CB1869"/>
    <w:rsid w:val="00CB2089"/>
    <w:rsid w:val="00CB54D6"/>
    <w:rsid w:val="00CE2A16"/>
    <w:rsid w:val="00CF332C"/>
    <w:rsid w:val="00CF4089"/>
    <w:rsid w:val="00CF5A01"/>
    <w:rsid w:val="00D06A10"/>
    <w:rsid w:val="00D2006E"/>
    <w:rsid w:val="00D207A0"/>
    <w:rsid w:val="00D26527"/>
    <w:rsid w:val="00D40105"/>
    <w:rsid w:val="00D515D0"/>
    <w:rsid w:val="00D6315F"/>
    <w:rsid w:val="00D857D5"/>
    <w:rsid w:val="00D918EE"/>
    <w:rsid w:val="00D9224D"/>
    <w:rsid w:val="00DB1DCC"/>
    <w:rsid w:val="00DC5BF0"/>
    <w:rsid w:val="00DD41B9"/>
    <w:rsid w:val="00E02019"/>
    <w:rsid w:val="00E2077C"/>
    <w:rsid w:val="00E22823"/>
    <w:rsid w:val="00E4089D"/>
    <w:rsid w:val="00E42C22"/>
    <w:rsid w:val="00E5388F"/>
    <w:rsid w:val="00E71DC1"/>
    <w:rsid w:val="00E92D2D"/>
    <w:rsid w:val="00EA7DFE"/>
    <w:rsid w:val="00EB1BBA"/>
    <w:rsid w:val="00ED0575"/>
    <w:rsid w:val="00EE1636"/>
    <w:rsid w:val="00EE519C"/>
    <w:rsid w:val="00F008ED"/>
    <w:rsid w:val="00F16670"/>
    <w:rsid w:val="00F4306F"/>
    <w:rsid w:val="00F47D59"/>
    <w:rsid w:val="00F56621"/>
    <w:rsid w:val="00F67A8A"/>
    <w:rsid w:val="00F71D52"/>
    <w:rsid w:val="00F743EE"/>
    <w:rsid w:val="00F91A39"/>
    <w:rsid w:val="00F940FE"/>
    <w:rsid w:val="00FA242B"/>
    <w:rsid w:val="00FB0EB1"/>
    <w:rsid w:val="00FC2812"/>
    <w:rsid w:val="00FC57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292995"/>
    <w:rsid w:val="00461B3A"/>
    <w:rsid w:val="004C0EA6"/>
    <w:rsid w:val="00600894"/>
    <w:rsid w:val="006A25DD"/>
    <w:rsid w:val="007B55C3"/>
    <w:rsid w:val="007F6977"/>
    <w:rsid w:val="008624D3"/>
    <w:rsid w:val="00880E1B"/>
    <w:rsid w:val="008E0070"/>
    <w:rsid w:val="009B4F8E"/>
    <w:rsid w:val="009C782F"/>
    <w:rsid w:val="009D2B51"/>
    <w:rsid w:val="00AD445F"/>
    <w:rsid w:val="00B82B7A"/>
    <w:rsid w:val="00C65841"/>
    <w:rsid w:val="00CF0536"/>
    <w:rsid w:val="00D52621"/>
    <w:rsid w:val="00DA3AF0"/>
    <w:rsid w:val="00E05122"/>
    <w:rsid w:val="00E21CF5"/>
    <w:rsid w:val="00E37465"/>
    <w:rsid w:val="00E84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A699F-0772-4B00-BA98-7C10132F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1246</Words>
  <Characters>6857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Isabelle Puisoye</cp:lastModifiedBy>
  <cp:revision>10</cp:revision>
  <cp:lastPrinted>2020-01-10T09:54:00Z</cp:lastPrinted>
  <dcterms:created xsi:type="dcterms:W3CDTF">2020-01-24T16:18:00Z</dcterms:created>
  <dcterms:modified xsi:type="dcterms:W3CDTF">2020-01-31T08:00:00Z</dcterms:modified>
</cp:coreProperties>
</file>