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984"/>
        <w:gridCol w:w="3200"/>
      </w:tblGrid>
      <w:tr w:rsidR="00DC5BF0" w:rsidRPr="00697F84" w:rsidTr="00A95222">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331C77">
              <w:t xml:space="preserve"> 1.2.</w:t>
            </w:r>
          </w:p>
        </w:tc>
        <w:tc>
          <w:tcPr>
            <w:tcW w:w="6973" w:type="dxa"/>
            <w:gridSpan w:val="4"/>
            <w:tcBorders>
              <w:bottom w:val="single" w:sz="4" w:space="0" w:color="auto"/>
            </w:tcBorders>
            <w:shd w:val="clear" w:color="auto" w:fill="FFFFFF" w:themeFill="background1"/>
            <w:vAlign w:val="center"/>
          </w:tcPr>
          <w:p w:rsidR="00CF5A01" w:rsidRPr="00BA59FE" w:rsidRDefault="008979F3" w:rsidP="008B1140">
            <w:pPr>
              <w:jc w:val="center"/>
              <w:rPr>
                <w:rFonts w:ascii="Helvetica" w:hAnsi="Helvetica" w:cs="Helvetica"/>
                <w:b/>
                <w:color w:val="000000"/>
                <w:shd w:val="clear" w:color="auto" w:fill="FFFFFF"/>
              </w:rPr>
            </w:pPr>
            <w:r w:rsidRPr="008979F3">
              <w:rPr>
                <w:rFonts w:ascii="Helvetica" w:hAnsi="Helvetica" w:cs="Helvetica"/>
                <w:b/>
                <w:color w:val="000000"/>
                <w:shd w:val="clear" w:color="auto" w:fill="FFFFFF"/>
              </w:rPr>
              <w:t>Collectivités, e-santé et promotion de la santé</w:t>
            </w:r>
            <w:r>
              <w:rPr>
                <w:rFonts w:ascii="Helvetica" w:hAnsi="Helvetica" w:cs="Helvetica"/>
                <w:b/>
                <w:color w:val="000000"/>
                <w:shd w:val="clear" w:color="auto" w:fill="FFFFFF"/>
              </w:rPr>
              <w:t xml:space="preserve"> : </w:t>
            </w:r>
            <w:r w:rsidR="00AF656C">
              <w:rPr>
                <w:rFonts w:ascii="Helvetica" w:hAnsi="Helvetica" w:cs="Helvetica"/>
                <w:b/>
                <w:color w:val="000000"/>
                <w:shd w:val="clear" w:color="auto" w:fill="FFFFFF"/>
              </w:rPr>
              <w:br/>
            </w:r>
            <w:r w:rsidR="006E257F">
              <w:rPr>
                <w:rFonts w:ascii="Helvetica" w:hAnsi="Helvetica" w:cs="Helvetica"/>
                <w:b/>
                <w:color w:val="000000"/>
                <w:shd w:val="clear" w:color="auto" w:fill="FFFFFF"/>
              </w:rPr>
              <w:t>Plate-forme WEB SANTE du Pays de Saverne Plaine et Plateau</w:t>
            </w:r>
          </w:p>
        </w:tc>
      </w:tr>
      <w:tr w:rsidR="00BA67BA" w:rsidRPr="00697F84" w:rsidTr="00EE163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697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E163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rsidR="002A03EA" w:rsidRDefault="005E3E50"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39458C">
              <w:rPr>
                <w:rFonts w:ascii="Arial" w:hAnsi="Arial" w:cs="Arial"/>
                <w:sz w:val="20"/>
                <w:szCs w:val="20"/>
              </w:rPr>
              <w:fldChar w:fldCharType="begin">
                <w:ffData>
                  <w:name w:val=""/>
                  <w:enabled/>
                  <w:calcOnExit w:val="0"/>
                  <w:checkBox>
                    <w:sizeAuto/>
                    <w:default w:val="0"/>
                  </w:checkBox>
                </w:ffData>
              </w:fldChar>
            </w:r>
            <w:r w:rsidR="0039458C">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0039458C">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6E257F"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6C61">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rsidR="008B1140" w:rsidRPr="00CB1869" w:rsidRDefault="006103D7" w:rsidP="00CB1869">
            <w:pPr>
              <w:rPr>
                <w:rFonts w:ascii="Arial" w:hAnsi="Arial" w:cs="Arial"/>
                <w:i/>
                <w:sz w:val="20"/>
                <w:szCs w:val="20"/>
              </w:rPr>
            </w:pPr>
            <w:r>
              <w:rPr>
                <w:rFonts w:ascii="Arial" w:hAnsi="Arial" w:cs="Arial"/>
                <w:i/>
                <w:sz w:val="20"/>
                <w:szCs w:val="20"/>
              </w:rPr>
              <w:t xml:space="preserve"> </w:t>
            </w:r>
            <w:r w:rsidR="009302A4">
              <w:rPr>
                <w:rFonts w:ascii="Arial" w:hAnsi="Arial" w:cs="Arial"/>
                <w:i/>
                <w:sz w:val="20"/>
                <w:szCs w:val="20"/>
              </w:rPr>
              <w:t>PETR</w:t>
            </w:r>
          </w:p>
        </w:tc>
      </w:tr>
      <w:tr w:rsidR="00CE2A16" w:rsidRPr="00354DE9" w:rsidTr="00996C61">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rsidR="00CE2A16" w:rsidRPr="00CB1869" w:rsidRDefault="00AF656C" w:rsidP="00CB1869">
            <w:pPr>
              <w:rPr>
                <w:rFonts w:ascii="Arial" w:hAnsi="Arial" w:cs="Arial"/>
                <w:i/>
                <w:sz w:val="20"/>
                <w:szCs w:val="20"/>
              </w:rPr>
            </w:pPr>
            <w:r>
              <w:rPr>
                <w:rFonts w:ascii="Arial" w:hAnsi="Arial" w:cs="Arial"/>
                <w:i/>
                <w:sz w:val="20"/>
                <w:szCs w:val="20"/>
              </w:rPr>
              <w:t>Céline FOURILE</w:t>
            </w:r>
          </w:p>
        </w:tc>
      </w:tr>
      <w:tr w:rsidR="00302BF2" w:rsidRPr="00354DE9" w:rsidTr="0001578C">
        <w:trPr>
          <w:trHeight w:val="322"/>
          <w:jc w:val="center"/>
        </w:trPr>
        <w:tc>
          <w:tcPr>
            <w:tcW w:w="2547" w:type="dxa"/>
            <w:shd w:val="clear" w:color="auto" w:fill="auto"/>
            <w:vAlign w:val="center"/>
          </w:tcPr>
          <w:p w:rsidR="00302BF2" w:rsidRPr="00354DE9" w:rsidRDefault="00302BF2" w:rsidP="00BA59FE">
            <w:pPr>
              <w:rPr>
                <w:rFonts w:ascii="Arial" w:hAnsi="Arial" w:cs="Arial"/>
                <w:b/>
                <w:sz w:val="20"/>
                <w:szCs w:val="20"/>
              </w:rPr>
            </w:pPr>
            <w:r>
              <w:rPr>
                <w:rFonts w:ascii="Arial" w:hAnsi="Arial" w:cs="Arial"/>
                <w:b/>
                <w:sz w:val="20"/>
                <w:szCs w:val="20"/>
              </w:rPr>
              <w:t>Acteurs identifiés</w:t>
            </w:r>
          </w:p>
        </w:tc>
        <w:tc>
          <w:tcPr>
            <w:tcW w:w="6973" w:type="dxa"/>
            <w:gridSpan w:val="4"/>
            <w:shd w:val="clear" w:color="auto" w:fill="auto"/>
            <w:vAlign w:val="center"/>
          </w:tcPr>
          <w:p w:rsidR="00302BF2" w:rsidRDefault="006E257F" w:rsidP="00CB1869">
            <w:pPr>
              <w:rPr>
                <w:rFonts w:ascii="Arial" w:hAnsi="Arial" w:cs="Arial"/>
                <w:sz w:val="20"/>
                <w:szCs w:val="20"/>
              </w:rPr>
            </w:pPr>
            <w:r w:rsidRPr="006E257F">
              <w:rPr>
                <w:rFonts w:ascii="Arial" w:hAnsi="Arial" w:cs="Arial"/>
                <w:sz w:val="20"/>
                <w:szCs w:val="20"/>
              </w:rPr>
              <w:t>A</w:t>
            </w:r>
            <w:r>
              <w:rPr>
                <w:rFonts w:ascii="Arial" w:hAnsi="Arial" w:cs="Arial"/>
                <w:sz w:val="20"/>
                <w:szCs w:val="20"/>
              </w:rPr>
              <w:t>RS</w:t>
            </w:r>
          </w:p>
          <w:p w:rsidR="006E257F" w:rsidRDefault="006E257F" w:rsidP="00CB1869">
            <w:pPr>
              <w:rPr>
                <w:rFonts w:ascii="Arial" w:hAnsi="Arial" w:cs="Arial"/>
                <w:sz w:val="20"/>
                <w:szCs w:val="20"/>
              </w:rPr>
            </w:pPr>
            <w:r>
              <w:rPr>
                <w:rFonts w:ascii="Arial" w:hAnsi="Arial" w:cs="Arial"/>
                <w:sz w:val="20"/>
                <w:szCs w:val="20"/>
              </w:rPr>
              <w:t>Conseil Départemental 67</w:t>
            </w:r>
          </w:p>
          <w:p w:rsidR="006E257F" w:rsidRDefault="006E257F" w:rsidP="00CB1869">
            <w:pPr>
              <w:rPr>
                <w:rFonts w:ascii="Arial" w:hAnsi="Arial" w:cs="Arial"/>
                <w:sz w:val="20"/>
                <w:szCs w:val="20"/>
              </w:rPr>
            </w:pPr>
            <w:r>
              <w:rPr>
                <w:rFonts w:ascii="Arial" w:hAnsi="Arial" w:cs="Arial"/>
                <w:sz w:val="20"/>
                <w:szCs w:val="20"/>
              </w:rPr>
              <w:t>MSA</w:t>
            </w:r>
          </w:p>
          <w:p w:rsidR="006E257F" w:rsidRDefault="006E257F" w:rsidP="00CB1869">
            <w:pPr>
              <w:rPr>
                <w:rFonts w:ascii="Arial" w:hAnsi="Arial" w:cs="Arial"/>
                <w:sz w:val="20"/>
                <w:szCs w:val="20"/>
              </w:rPr>
            </w:pPr>
            <w:r>
              <w:rPr>
                <w:rFonts w:ascii="Arial" w:hAnsi="Arial" w:cs="Arial"/>
                <w:sz w:val="20"/>
                <w:szCs w:val="20"/>
              </w:rPr>
              <w:t>CARSAT</w:t>
            </w:r>
          </w:p>
          <w:p w:rsidR="006E257F" w:rsidRPr="006E257F" w:rsidRDefault="006E257F" w:rsidP="00CB1869">
            <w:pPr>
              <w:rPr>
                <w:rFonts w:ascii="Arial" w:hAnsi="Arial" w:cs="Arial"/>
                <w:sz w:val="20"/>
                <w:szCs w:val="20"/>
              </w:rPr>
            </w:pPr>
            <w:r>
              <w:rPr>
                <w:rFonts w:ascii="Arial" w:hAnsi="Arial" w:cs="Arial"/>
                <w:sz w:val="20"/>
                <w:szCs w:val="20"/>
              </w:rPr>
              <w:t>Assurance maladie</w:t>
            </w:r>
          </w:p>
          <w:p w:rsidR="006E257F" w:rsidRPr="004B6527" w:rsidRDefault="006E257F" w:rsidP="00CB1869">
            <w:pPr>
              <w:rPr>
                <w:rFonts w:ascii="Arial" w:hAnsi="Arial" w:cs="Arial"/>
                <w:sz w:val="10"/>
                <w:szCs w:val="20"/>
              </w:rPr>
            </w:pPr>
          </w:p>
        </w:tc>
      </w:tr>
      <w:tr w:rsidR="00354DE9" w:rsidRPr="00354DE9" w:rsidTr="00C55AAD">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rsidR="0057104E" w:rsidRPr="00F743EE" w:rsidRDefault="00CF5A01" w:rsidP="00D9224D">
            <w:pPr>
              <w:rPr>
                <w:rFonts w:ascii="Arial" w:hAnsi="Arial" w:cs="Arial"/>
                <w:b/>
                <w:bCs/>
                <w:sz w:val="20"/>
                <w:szCs w:val="20"/>
              </w:rPr>
            </w:pPr>
            <w:r w:rsidRPr="00F743EE">
              <w:rPr>
                <w:rFonts w:ascii="Arial" w:hAnsi="Arial" w:cs="Arial"/>
                <w:b/>
                <w:bCs/>
                <w:sz w:val="20"/>
                <w:szCs w:val="20"/>
              </w:rPr>
              <w:t xml:space="preserve">Axe </w:t>
            </w:r>
            <w:r w:rsidR="006E257F">
              <w:rPr>
                <w:rFonts w:ascii="Arial" w:hAnsi="Arial" w:cs="Arial"/>
                <w:b/>
                <w:bCs/>
                <w:sz w:val="20"/>
                <w:szCs w:val="20"/>
              </w:rPr>
              <w:t>1</w:t>
            </w:r>
          </w:p>
        </w:tc>
      </w:tr>
      <w:tr w:rsidR="00354DE9" w:rsidRPr="00354DE9" w:rsidTr="00C55AAD">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rsidR="006E257F" w:rsidRDefault="006E257F" w:rsidP="006E257F">
            <w:pPr>
              <w:jc w:val="both"/>
              <w:rPr>
                <w:rFonts w:ascii="Arial" w:hAnsi="Arial" w:cs="Arial"/>
                <w:sz w:val="20"/>
                <w:szCs w:val="20"/>
              </w:rPr>
            </w:pPr>
            <w:r>
              <w:rPr>
                <w:rFonts w:ascii="Arial" w:hAnsi="Arial" w:cs="Arial"/>
                <w:sz w:val="20"/>
                <w:szCs w:val="20"/>
              </w:rPr>
              <w:t>Le diagno</w:t>
            </w:r>
            <w:r w:rsidR="000C59CB">
              <w:rPr>
                <w:rFonts w:ascii="Arial" w:hAnsi="Arial" w:cs="Arial"/>
                <w:sz w:val="20"/>
                <w:szCs w:val="20"/>
              </w:rPr>
              <w:t>sti</w:t>
            </w:r>
            <w:r>
              <w:rPr>
                <w:rFonts w:ascii="Arial" w:hAnsi="Arial" w:cs="Arial"/>
                <w:sz w:val="20"/>
                <w:szCs w:val="20"/>
              </w:rPr>
              <w:t xml:space="preserve">c local de santé a relevé un </w:t>
            </w:r>
            <w:r w:rsidRPr="006E257F">
              <w:rPr>
                <w:rFonts w:ascii="Arial" w:hAnsi="Arial" w:cs="Arial"/>
                <w:sz w:val="20"/>
                <w:szCs w:val="20"/>
              </w:rPr>
              <w:t xml:space="preserve">besoin d’information </w:t>
            </w:r>
            <w:r>
              <w:rPr>
                <w:rFonts w:ascii="Arial" w:hAnsi="Arial" w:cs="Arial"/>
                <w:sz w:val="20"/>
                <w:szCs w:val="20"/>
              </w:rPr>
              <w:t>à plusieurs niveaux :</w:t>
            </w:r>
          </w:p>
          <w:p w:rsidR="004B6527" w:rsidRDefault="004B6527" w:rsidP="006E257F">
            <w:pPr>
              <w:jc w:val="both"/>
              <w:rPr>
                <w:rFonts w:ascii="Arial" w:hAnsi="Arial" w:cs="Arial"/>
                <w:sz w:val="20"/>
                <w:szCs w:val="20"/>
              </w:rPr>
            </w:pPr>
          </w:p>
          <w:p w:rsidR="00AE0A60" w:rsidRDefault="006E257F" w:rsidP="006E257F">
            <w:pPr>
              <w:pStyle w:val="Paragraphedeliste"/>
              <w:numPr>
                <w:ilvl w:val="0"/>
                <w:numId w:val="6"/>
              </w:numPr>
              <w:jc w:val="both"/>
              <w:rPr>
                <w:rFonts w:ascii="Arial" w:hAnsi="Arial" w:cs="Arial"/>
                <w:sz w:val="20"/>
                <w:szCs w:val="20"/>
              </w:rPr>
            </w:pPr>
            <w:r w:rsidRPr="006E257F">
              <w:rPr>
                <w:rFonts w:ascii="Arial" w:hAnsi="Arial" w:cs="Arial"/>
                <w:sz w:val="20"/>
                <w:szCs w:val="20"/>
              </w:rPr>
              <w:t>sur l’offre territoriale existante en matière de santé tant pour les profes</w:t>
            </w:r>
            <w:r w:rsidR="00DB367C">
              <w:rPr>
                <w:rFonts w:ascii="Arial" w:hAnsi="Arial" w:cs="Arial"/>
                <w:sz w:val="20"/>
                <w:szCs w:val="20"/>
              </w:rPr>
              <w:t>sionnels que pour les habitants ;</w:t>
            </w:r>
          </w:p>
          <w:p w:rsidR="006E257F" w:rsidRPr="006E257F" w:rsidRDefault="006E257F" w:rsidP="006E257F">
            <w:pPr>
              <w:pStyle w:val="Paragraphedeliste"/>
              <w:numPr>
                <w:ilvl w:val="0"/>
                <w:numId w:val="6"/>
              </w:numPr>
              <w:jc w:val="both"/>
              <w:rPr>
                <w:rFonts w:ascii="Arial" w:hAnsi="Arial" w:cs="Arial"/>
                <w:sz w:val="20"/>
                <w:szCs w:val="20"/>
              </w:rPr>
            </w:pPr>
            <w:r>
              <w:rPr>
                <w:rFonts w:ascii="Arial" w:hAnsi="Arial" w:cs="Arial"/>
                <w:sz w:val="20"/>
                <w:szCs w:val="20"/>
              </w:rPr>
              <w:t>Sur les dispositifs en cours ou existants à destination des professionnels (</w:t>
            </w:r>
            <w:r w:rsidR="000C59CB">
              <w:rPr>
                <w:rFonts w:ascii="Arial" w:hAnsi="Arial" w:cs="Arial"/>
                <w:sz w:val="20"/>
                <w:szCs w:val="20"/>
              </w:rPr>
              <w:t xml:space="preserve">promotion des </w:t>
            </w:r>
            <w:r>
              <w:rPr>
                <w:rFonts w:ascii="Arial" w:hAnsi="Arial" w:cs="Arial"/>
                <w:sz w:val="20"/>
                <w:szCs w:val="20"/>
              </w:rPr>
              <w:t>appel</w:t>
            </w:r>
            <w:r w:rsidR="000C59CB">
              <w:rPr>
                <w:rFonts w:ascii="Arial" w:hAnsi="Arial" w:cs="Arial"/>
                <w:sz w:val="20"/>
                <w:szCs w:val="20"/>
              </w:rPr>
              <w:t>s</w:t>
            </w:r>
            <w:r>
              <w:rPr>
                <w:rFonts w:ascii="Arial" w:hAnsi="Arial" w:cs="Arial"/>
                <w:sz w:val="20"/>
                <w:szCs w:val="20"/>
              </w:rPr>
              <w:t xml:space="preserve"> d’offres de l’ARS, actions en cours, nouvelle offre</w:t>
            </w:r>
            <w:r w:rsidR="000C59CB">
              <w:rPr>
                <w:rFonts w:ascii="Arial" w:hAnsi="Arial" w:cs="Arial"/>
                <w:sz w:val="20"/>
                <w:szCs w:val="20"/>
              </w:rPr>
              <w:t>, etc…)</w:t>
            </w:r>
          </w:p>
          <w:p w:rsidR="006E257F" w:rsidRPr="004B6527" w:rsidRDefault="006E257F" w:rsidP="006E257F">
            <w:pPr>
              <w:ind w:left="360"/>
              <w:jc w:val="both"/>
              <w:rPr>
                <w:rFonts w:ascii="Arial" w:hAnsi="Arial" w:cs="Arial"/>
                <w:sz w:val="10"/>
                <w:szCs w:val="20"/>
              </w:rPr>
            </w:pPr>
          </w:p>
        </w:tc>
      </w:tr>
      <w:tr w:rsidR="00354DE9" w:rsidRPr="00354DE9" w:rsidTr="00EE163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rsidR="005B3191" w:rsidRDefault="0000722D"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Axe 1 : Prévention</w:t>
            </w:r>
            <w:r w:rsidR="00AF656C">
              <w:rPr>
                <w:rFonts w:ascii="Arial" w:hAnsi="Arial" w:cs="Arial"/>
                <w:sz w:val="20"/>
                <w:szCs w:val="20"/>
              </w:rPr>
              <w:t> :</w:t>
            </w:r>
            <w:r w:rsidR="005B3191" w:rsidRPr="00635DD5">
              <w:rPr>
                <w:rFonts w:ascii="Arial" w:hAnsi="Arial" w:cs="Arial"/>
                <w:sz w:val="20"/>
                <w:szCs w:val="20"/>
              </w:rPr>
              <w:t xml:space="preserve"> </w:t>
            </w:r>
            <w:sdt>
              <w:sdtPr>
                <w:rPr>
                  <w:rFonts w:ascii="Arial" w:hAnsi="Arial" w:cs="Arial"/>
                  <w:sz w:val="20"/>
                  <w:szCs w:val="20"/>
                </w:rPr>
                <w:alias w:val="Objectifs Axe 1"/>
                <w:tag w:val="Objectifs Axe 1"/>
                <w:id w:val="388237479"/>
                <w:placeholder>
                  <w:docPart w:val="DefaultPlaceholder_1082065159"/>
                </w:placeholde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Pr>
                    <w:rFonts w:ascii="Arial" w:hAnsi="Arial" w:cs="Arial"/>
                    <w:sz w:val="20"/>
                    <w:szCs w:val="20"/>
                  </w:rPr>
                  <w:t xml:space="preserve">Objectif 03.0 - Améliorer l’information et la </w:t>
                </w:r>
                <w:r w:rsidR="00AF656C">
                  <w:rPr>
                    <w:rFonts w:ascii="Arial" w:hAnsi="Arial" w:cs="Arial"/>
                    <w:sz w:val="20"/>
                    <w:szCs w:val="20"/>
                  </w:rPr>
                  <w:t xml:space="preserve">  </w:t>
                </w:r>
                <w:r>
                  <w:rPr>
                    <w:rFonts w:ascii="Arial" w:hAnsi="Arial" w:cs="Arial"/>
                    <w:sz w:val="20"/>
                    <w:szCs w:val="20"/>
                  </w:rPr>
                  <w:t>connaissance du public en s’appuyant sur les campagnes nationales de prévention pour les maladies chroniques</w:t>
                </w:r>
              </w:sdtContent>
            </w:sdt>
          </w:p>
          <w:p w:rsidR="005B3191" w:rsidRDefault="0000722D"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00722D"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D9224D">
                  <w:rPr>
                    <w:rFonts w:ascii="Arial" w:hAnsi="Arial" w:cs="Arial"/>
                    <w:sz w:val="20"/>
                    <w:szCs w:val="20"/>
                  </w:rPr>
                  <w:t xml:space="preserve">Objectif </w:t>
                </w:r>
              </w:sdtContent>
            </w:sdt>
          </w:p>
          <w:p w:rsidR="00E22823"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00722D"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00722D"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00722D"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3723DA"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F91A39">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EE163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3723DA"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0C59CB"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86A6216FE90244D8AD8EF54FC6093150"/>
                </w:placeholde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E0A60">
                  <w:rPr>
                    <w:rFonts w:ascii="Arial" w:hAnsi="Arial" w:cs="Arial"/>
                    <w:sz w:val="20"/>
                    <w:szCs w:val="20"/>
                  </w:rPr>
                  <w:t>Développer les connaissances et les compétences en santé environnement</w:t>
                </w:r>
              </w:sdtContent>
            </w:sdt>
          </w:p>
          <w:p w:rsidR="00880675" w:rsidRDefault="003723DA" w:rsidP="00F9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AF656C">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E1636">
        <w:trPr>
          <w:jc w:val="center"/>
        </w:trPr>
        <w:tc>
          <w:tcPr>
            <w:tcW w:w="2547" w:type="dxa"/>
            <w:shd w:val="clear" w:color="auto" w:fill="FFFFFF" w:themeFill="background1"/>
            <w:vAlign w:val="center"/>
          </w:tcPr>
          <w:p w:rsidR="005C6B90" w:rsidRPr="00354DE9" w:rsidRDefault="005C6B90" w:rsidP="00AF656C">
            <w:pPr>
              <w:rPr>
                <w:rFonts w:ascii="Arial" w:hAnsi="Arial" w:cs="Arial"/>
                <w:b/>
                <w:sz w:val="20"/>
                <w:szCs w:val="20"/>
              </w:rPr>
            </w:pPr>
            <w:r>
              <w:rPr>
                <w:rFonts w:ascii="Arial" w:hAnsi="Arial" w:cs="Arial"/>
                <w:b/>
                <w:sz w:val="20"/>
                <w:szCs w:val="20"/>
              </w:rPr>
              <w:t xml:space="preserve">Objectif </w:t>
            </w:r>
            <w:proofErr w:type="gramStart"/>
            <w:r>
              <w:rPr>
                <w:rFonts w:ascii="Arial" w:hAnsi="Arial" w:cs="Arial"/>
                <w:b/>
                <w:sz w:val="20"/>
                <w:szCs w:val="20"/>
              </w:rPr>
              <w:t>général</w:t>
            </w:r>
            <w:proofErr w:type="gramEnd"/>
            <w:r w:rsidR="00AF656C">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00722D" w:rsidRDefault="0000722D" w:rsidP="0000722D">
            <w:pPr>
              <w:rPr>
                <w:rFonts w:ascii="Arial" w:hAnsi="Arial" w:cs="Arial"/>
                <w:sz w:val="20"/>
                <w:szCs w:val="20"/>
              </w:rPr>
            </w:pPr>
            <w:r>
              <w:rPr>
                <w:rFonts w:ascii="Arial" w:hAnsi="Arial" w:cs="Arial"/>
                <w:sz w:val="20"/>
                <w:szCs w:val="20"/>
              </w:rPr>
              <w:t>Utiliser l’outil numérique, support de</w:t>
            </w:r>
            <w:r w:rsidR="00DB367C">
              <w:rPr>
                <w:rFonts w:ascii="Arial" w:hAnsi="Arial" w:cs="Arial"/>
                <w:sz w:val="20"/>
                <w:szCs w:val="20"/>
              </w:rPr>
              <w:br/>
            </w:r>
          </w:p>
          <w:p w:rsidR="0000722D" w:rsidRDefault="0000722D" w:rsidP="0000722D">
            <w:pPr>
              <w:pStyle w:val="Paragraphedeliste"/>
              <w:numPr>
                <w:ilvl w:val="0"/>
                <w:numId w:val="6"/>
              </w:numPr>
              <w:rPr>
                <w:rFonts w:ascii="Arial" w:hAnsi="Arial" w:cs="Arial"/>
                <w:sz w:val="20"/>
                <w:szCs w:val="20"/>
              </w:rPr>
            </w:pPr>
            <w:r w:rsidRPr="0000722D">
              <w:rPr>
                <w:rFonts w:ascii="Arial" w:hAnsi="Arial" w:cs="Arial"/>
                <w:sz w:val="20"/>
                <w:szCs w:val="20"/>
              </w:rPr>
              <w:t xml:space="preserve">la coordination et l’échange </w:t>
            </w:r>
            <w:r>
              <w:rPr>
                <w:rFonts w:ascii="Arial" w:hAnsi="Arial" w:cs="Arial"/>
                <w:sz w:val="20"/>
                <w:szCs w:val="20"/>
              </w:rPr>
              <w:t xml:space="preserve">des acteurs du territoire </w:t>
            </w:r>
          </w:p>
          <w:p w:rsidR="008B1140" w:rsidRDefault="0000722D" w:rsidP="00AF656C">
            <w:pPr>
              <w:pStyle w:val="Paragraphedeliste"/>
              <w:numPr>
                <w:ilvl w:val="0"/>
                <w:numId w:val="6"/>
              </w:numPr>
              <w:rPr>
                <w:rFonts w:ascii="Arial" w:hAnsi="Arial" w:cs="Arial"/>
                <w:sz w:val="20"/>
                <w:szCs w:val="20"/>
              </w:rPr>
            </w:pPr>
            <w:r>
              <w:rPr>
                <w:rFonts w:ascii="Arial" w:hAnsi="Arial" w:cs="Arial"/>
                <w:sz w:val="20"/>
                <w:szCs w:val="20"/>
              </w:rPr>
              <w:t xml:space="preserve">l’animation </w:t>
            </w:r>
            <w:r w:rsidRPr="0000722D">
              <w:rPr>
                <w:rFonts w:ascii="Arial" w:hAnsi="Arial" w:cs="Arial"/>
                <w:sz w:val="20"/>
                <w:szCs w:val="20"/>
              </w:rPr>
              <w:t xml:space="preserve"> «santé sur le territoire» </w:t>
            </w:r>
          </w:p>
          <w:p w:rsidR="0066448C" w:rsidRPr="004B6527" w:rsidRDefault="0066448C" w:rsidP="0066448C">
            <w:pPr>
              <w:pStyle w:val="Paragraphedeliste"/>
              <w:rPr>
                <w:rFonts w:ascii="Arial" w:hAnsi="Arial" w:cs="Arial"/>
                <w:sz w:val="18"/>
                <w:szCs w:val="20"/>
              </w:rPr>
            </w:pPr>
          </w:p>
        </w:tc>
      </w:tr>
      <w:tr w:rsidR="00354DE9" w:rsidRPr="00354DE9" w:rsidTr="00EE1636">
        <w:trPr>
          <w:jc w:val="center"/>
        </w:trPr>
        <w:tc>
          <w:tcPr>
            <w:tcW w:w="2547" w:type="dxa"/>
            <w:shd w:val="clear" w:color="auto" w:fill="FFFFFF" w:themeFill="background1"/>
            <w:vAlign w:val="center"/>
          </w:tcPr>
          <w:p w:rsidR="009507D8" w:rsidRPr="00354DE9" w:rsidRDefault="009507D8" w:rsidP="00AF656C">
            <w:pPr>
              <w:rPr>
                <w:rFonts w:ascii="Arial" w:hAnsi="Arial" w:cs="Arial"/>
                <w:b/>
                <w:sz w:val="20"/>
                <w:szCs w:val="20"/>
              </w:rPr>
            </w:pPr>
            <w:r w:rsidRPr="00354DE9">
              <w:rPr>
                <w:rFonts w:ascii="Arial" w:hAnsi="Arial" w:cs="Arial"/>
                <w:b/>
                <w:sz w:val="20"/>
                <w:szCs w:val="20"/>
              </w:rPr>
              <w:t xml:space="preserve">Objectifs </w:t>
            </w:r>
            <w:proofErr w:type="gramStart"/>
            <w:r w:rsidR="00354DE9" w:rsidRPr="00354DE9">
              <w:rPr>
                <w:rFonts w:ascii="Arial" w:hAnsi="Arial" w:cs="Arial"/>
                <w:b/>
                <w:sz w:val="20"/>
                <w:szCs w:val="20"/>
              </w:rPr>
              <w:t>spécifiques</w:t>
            </w:r>
            <w:proofErr w:type="gramEnd"/>
            <w:r w:rsidR="00AF656C">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00722D" w:rsidRDefault="0000722D" w:rsidP="004B6527">
            <w:pPr>
              <w:jc w:val="both"/>
              <w:rPr>
                <w:rFonts w:ascii="Arial" w:hAnsi="Arial" w:cs="Arial"/>
                <w:sz w:val="20"/>
                <w:szCs w:val="20"/>
              </w:rPr>
            </w:pPr>
            <w:r w:rsidRPr="0000722D">
              <w:rPr>
                <w:rFonts w:ascii="Arial" w:hAnsi="Arial" w:cs="Arial"/>
                <w:sz w:val="20"/>
                <w:szCs w:val="20"/>
              </w:rPr>
              <w:t>Créer et identifier un réseau d’acteurs de la santé publique/promotion de la santé sur le territoire</w:t>
            </w:r>
            <w:r w:rsidR="00AF656C">
              <w:rPr>
                <w:rFonts w:ascii="Arial" w:hAnsi="Arial" w:cs="Arial"/>
                <w:sz w:val="20"/>
                <w:szCs w:val="20"/>
              </w:rPr>
              <w:t> ;</w:t>
            </w:r>
          </w:p>
          <w:p w:rsidR="003723DA" w:rsidRDefault="003723DA" w:rsidP="004B6527">
            <w:pPr>
              <w:jc w:val="both"/>
              <w:rPr>
                <w:rFonts w:ascii="Arial" w:hAnsi="Arial" w:cs="Arial"/>
                <w:sz w:val="20"/>
                <w:szCs w:val="20"/>
              </w:rPr>
            </w:pPr>
            <w:r>
              <w:rPr>
                <w:rFonts w:ascii="Arial" w:hAnsi="Arial" w:cs="Arial"/>
                <w:sz w:val="20"/>
                <w:szCs w:val="20"/>
              </w:rPr>
              <w:t>Apporter un premier niveau de réponse sur les questions de l’offre de santé, l’organisation des soins et la promotion de la santé sur le ter</w:t>
            </w:r>
            <w:r w:rsidR="00AF656C">
              <w:rPr>
                <w:rFonts w:ascii="Arial" w:hAnsi="Arial" w:cs="Arial"/>
                <w:sz w:val="20"/>
                <w:szCs w:val="20"/>
              </w:rPr>
              <w:t>ritoire ;</w:t>
            </w:r>
          </w:p>
          <w:p w:rsidR="00AF656C" w:rsidRPr="00A44738" w:rsidRDefault="00AF656C" w:rsidP="004B6527">
            <w:pPr>
              <w:jc w:val="both"/>
              <w:rPr>
                <w:rFonts w:ascii="Arial" w:hAnsi="Arial" w:cs="Arial"/>
                <w:sz w:val="20"/>
                <w:szCs w:val="20"/>
              </w:rPr>
            </w:pPr>
            <w:r>
              <w:rPr>
                <w:rFonts w:ascii="Arial" w:hAnsi="Arial" w:cs="Arial"/>
                <w:sz w:val="20"/>
                <w:szCs w:val="20"/>
              </w:rPr>
              <w:t>Relayer  l’information «</w:t>
            </w:r>
            <w:r w:rsidR="0000722D">
              <w:rPr>
                <w:rFonts w:ascii="Arial" w:hAnsi="Arial" w:cs="Arial"/>
                <w:sz w:val="20"/>
                <w:szCs w:val="20"/>
              </w:rPr>
              <w:t>santé» auprès des acteurs du territoire</w:t>
            </w:r>
            <w:r>
              <w:rPr>
                <w:rFonts w:ascii="Arial" w:hAnsi="Arial" w:cs="Arial"/>
                <w:sz w:val="20"/>
                <w:szCs w:val="20"/>
              </w:rPr>
              <w:t>.</w:t>
            </w:r>
          </w:p>
        </w:tc>
      </w:tr>
      <w:tr w:rsidR="00354DE9" w:rsidRPr="00354DE9" w:rsidTr="00EE163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lastRenderedPageBreak/>
              <w:t>Objectifs opérationnels</w:t>
            </w:r>
          </w:p>
        </w:tc>
        <w:tc>
          <w:tcPr>
            <w:tcW w:w="6973" w:type="dxa"/>
            <w:gridSpan w:val="4"/>
            <w:vAlign w:val="center"/>
          </w:tcPr>
          <w:p w:rsidR="008979F3" w:rsidRPr="00AF656C" w:rsidRDefault="003D2156" w:rsidP="004B6527">
            <w:pPr>
              <w:pStyle w:val="Paragraphedeliste"/>
              <w:numPr>
                <w:ilvl w:val="0"/>
                <w:numId w:val="6"/>
              </w:numPr>
              <w:jc w:val="both"/>
              <w:rPr>
                <w:rFonts w:ascii="Arial" w:hAnsi="Arial" w:cs="Arial"/>
                <w:sz w:val="20"/>
                <w:szCs w:val="20"/>
              </w:rPr>
            </w:pPr>
            <w:r w:rsidRPr="00AF656C">
              <w:rPr>
                <w:rFonts w:ascii="Arial" w:hAnsi="Arial" w:cs="Arial"/>
                <w:sz w:val="20"/>
                <w:szCs w:val="20"/>
              </w:rPr>
              <w:t>Création d’une plateforme sécurisée par compte utilisateur, permettant de traiter collectivement des questions reçues et apporter une réponse unifiée au dépositaire</w:t>
            </w:r>
            <w:r w:rsidR="00AF656C">
              <w:rPr>
                <w:rFonts w:ascii="Arial" w:hAnsi="Arial" w:cs="Arial"/>
                <w:sz w:val="20"/>
                <w:szCs w:val="20"/>
              </w:rPr>
              <w:t> ;</w:t>
            </w:r>
          </w:p>
          <w:p w:rsidR="003D2156" w:rsidRPr="003D2156" w:rsidRDefault="008979F3" w:rsidP="004B6527">
            <w:pPr>
              <w:pStyle w:val="Paragraphedeliste"/>
              <w:numPr>
                <w:ilvl w:val="0"/>
                <w:numId w:val="6"/>
              </w:numPr>
              <w:jc w:val="both"/>
            </w:pPr>
            <w:r w:rsidRPr="00AF656C">
              <w:rPr>
                <w:rFonts w:ascii="Arial" w:hAnsi="Arial" w:cs="Arial"/>
                <w:sz w:val="20"/>
                <w:szCs w:val="20"/>
              </w:rPr>
              <w:t xml:space="preserve">Création </w:t>
            </w:r>
            <w:r w:rsidR="003D2156" w:rsidRPr="00AF656C">
              <w:rPr>
                <w:rFonts w:ascii="Arial" w:hAnsi="Arial" w:cs="Arial"/>
                <w:sz w:val="20"/>
                <w:szCs w:val="20"/>
              </w:rPr>
              <w:t>d’une page WEB d’actualités</w:t>
            </w:r>
            <w:r w:rsidR="00AF656C">
              <w:rPr>
                <w:rFonts w:ascii="Arial" w:hAnsi="Arial" w:cs="Arial"/>
                <w:sz w:val="20"/>
                <w:szCs w:val="20"/>
              </w:rPr>
              <w:t>.</w:t>
            </w:r>
            <w:r w:rsidR="003D2156">
              <w:t xml:space="preserve"> </w:t>
            </w:r>
          </w:p>
        </w:tc>
      </w:tr>
      <w:tr w:rsidR="00354DE9" w:rsidRPr="00354DE9" w:rsidTr="00996C61">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rsidR="007C6079" w:rsidRDefault="008979F3" w:rsidP="007C6079">
            <w:pPr>
              <w:rPr>
                <w:rFonts w:ascii="Arial" w:hAnsi="Arial" w:cs="Arial"/>
                <w:sz w:val="20"/>
                <w:szCs w:val="20"/>
              </w:rPr>
            </w:pPr>
            <w:r w:rsidRPr="00AF656C">
              <w:rPr>
                <w:rFonts w:ascii="Arial" w:hAnsi="Arial" w:cs="Arial"/>
                <w:sz w:val="20"/>
                <w:szCs w:val="20"/>
              </w:rPr>
              <w:t>Phase de création de l’outil 2020 (</w:t>
            </w:r>
            <w:r w:rsidR="007C6079" w:rsidRPr="00AF656C">
              <w:rPr>
                <w:rFonts w:ascii="Arial" w:hAnsi="Arial" w:cs="Arial"/>
                <w:sz w:val="20"/>
                <w:szCs w:val="20"/>
              </w:rPr>
              <w:t>Pilote : PETR</w:t>
            </w:r>
            <w:r w:rsidRPr="00AF656C">
              <w:rPr>
                <w:rFonts w:ascii="Arial" w:hAnsi="Arial" w:cs="Arial"/>
                <w:sz w:val="20"/>
                <w:szCs w:val="20"/>
              </w:rPr>
              <w:t>)</w:t>
            </w:r>
          </w:p>
          <w:p w:rsidR="00AF656C" w:rsidRPr="00AF656C" w:rsidRDefault="00AF656C" w:rsidP="007C6079">
            <w:pPr>
              <w:rPr>
                <w:rFonts w:ascii="Arial" w:hAnsi="Arial" w:cs="Arial"/>
                <w:sz w:val="20"/>
                <w:szCs w:val="20"/>
              </w:rPr>
            </w:pPr>
          </w:p>
          <w:p w:rsidR="007C6079" w:rsidRPr="00AF656C" w:rsidRDefault="003D2156" w:rsidP="004B6527">
            <w:pPr>
              <w:pStyle w:val="Paragraphedeliste"/>
              <w:numPr>
                <w:ilvl w:val="0"/>
                <w:numId w:val="7"/>
              </w:numPr>
              <w:ind w:left="748" w:hanging="425"/>
              <w:jc w:val="both"/>
              <w:rPr>
                <w:rFonts w:ascii="Arial" w:hAnsi="Arial" w:cs="Arial"/>
                <w:sz w:val="20"/>
                <w:szCs w:val="20"/>
              </w:rPr>
            </w:pPr>
            <w:r w:rsidRPr="00AF656C">
              <w:rPr>
                <w:rFonts w:ascii="Arial" w:hAnsi="Arial" w:cs="Arial"/>
                <w:sz w:val="20"/>
                <w:szCs w:val="20"/>
              </w:rPr>
              <w:t>Définition d’un cahier des charges de la plate-forme avec les acteurs</w:t>
            </w:r>
            <w:r w:rsidR="00AF656C">
              <w:rPr>
                <w:rFonts w:ascii="Arial" w:hAnsi="Arial" w:cs="Arial"/>
                <w:sz w:val="20"/>
                <w:szCs w:val="20"/>
              </w:rPr>
              <w:t> ;</w:t>
            </w:r>
          </w:p>
          <w:p w:rsidR="007C6079" w:rsidRPr="00AF656C" w:rsidRDefault="003D2156" w:rsidP="004B6527">
            <w:pPr>
              <w:numPr>
                <w:ilvl w:val="0"/>
                <w:numId w:val="4"/>
              </w:numPr>
              <w:contextualSpacing/>
              <w:jc w:val="both"/>
              <w:rPr>
                <w:rFonts w:ascii="Arial" w:hAnsi="Arial" w:cs="Arial"/>
                <w:sz w:val="20"/>
                <w:szCs w:val="20"/>
              </w:rPr>
            </w:pPr>
            <w:r w:rsidRPr="00AF656C">
              <w:rPr>
                <w:rFonts w:ascii="Arial" w:hAnsi="Arial" w:cs="Arial"/>
                <w:sz w:val="20"/>
                <w:szCs w:val="20"/>
              </w:rPr>
              <w:t>Création de la plate-forme et de la page d’actualités</w:t>
            </w:r>
            <w:r w:rsidR="00AF656C">
              <w:rPr>
                <w:rFonts w:ascii="Arial" w:hAnsi="Arial" w:cs="Arial"/>
                <w:sz w:val="20"/>
                <w:szCs w:val="20"/>
              </w:rPr>
              <w:t> ;</w:t>
            </w:r>
          </w:p>
          <w:p w:rsidR="00AF656C" w:rsidRDefault="003D2156" w:rsidP="004B6527">
            <w:pPr>
              <w:numPr>
                <w:ilvl w:val="0"/>
                <w:numId w:val="4"/>
              </w:numPr>
              <w:contextualSpacing/>
              <w:jc w:val="both"/>
              <w:rPr>
                <w:rFonts w:ascii="Arial" w:hAnsi="Arial" w:cs="Arial"/>
                <w:sz w:val="20"/>
                <w:szCs w:val="20"/>
              </w:rPr>
            </w:pPr>
            <w:r w:rsidRPr="00AF656C">
              <w:rPr>
                <w:rFonts w:ascii="Arial" w:hAnsi="Arial" w:cs="Arial"/>
                <w:sz w:val="20"/>
                <w:szCs w:val="20"/>
              </w:rPr>
              <w:t>Communication sur le lancement de la plate-forme</w:t>
            </w:r>
            <w:r w:rsidR="00AF656C">
              <w:rPr>
                <w:rFonts w:ascii="Arial" w:hAnsi="Arial" w:cs="Arial"/>
                <w:sz w:val="20"/>
                <w:szCs w:val="20"/>
              </w:rPr>
              <w:t>.</w:t>
            </w:r>
          </w:p>
          <w:p w:rsidR="00BB4009" w:rsidRPr="00AF656C" w:rsidRDefault="003D2156" w:rsidP="00AF656C">
            <w:pPr>
              <w:ind w:left="720"/>
              <w:contextualSpacing/>
              <w:rPr>
                <w:rFonts w:ascii="Arial" w:hAnsi="Arial" w:cs="Arial"/>
                <w:sz w:val="20"/>
                <w:szCs w:val="20"/>
              </w:rPr>
            </w:pPr>
            <w:r w:rsidRPr="00AF656C">
              <w:rPr>
                <w:rFonts w:ascii="Arial" w:hAnsi="Arial" w:cs="Arial"/>
                <w:sz w:val="20"/>
                <w:szCs w:val="20"/>
              </w:rPr>
              <w:t xml:space="preserve"> </w:t>
            </w:r>
          </w:p>
          <w:p w:rsidR="0057104E" w:rsidRDefault="008979F3" w:rsidP="00D9224D">
            <w:pPr>
              <w:spacing w:line="253" w:lineRule="atLeast"/>
              <w:rPr>
                <w:rFonts w:ascii="Arial" w:hAnsi="Arial" w:cs="Arial"/>
                <w:sz w:val="20"/>
                <w:szCs w:val="20"/>
              </w:rPr>
            </w:pPr>
            <w:r w:rsidRPr="00AF656C">
              <w:rPr>
                <w:rFonts w:ascii="Arial" w:hAnsi="Arial" w:cs="Arial"/>
                <w:sz w:val="20"/>
                <w:szCs w:val="20"/>
              </w:rPr>
              <w:t>2021 – 2024</w:t>
            </w:r>
          </w:p>
          <w:p w:rsidR="00AF656C" w:rsidRPr="00AF656C" w:rsidRDefault="00AF656C" w:rsidP="00D9224D">
            <w:pPr>
              <w:spacing w:line="253" w:lineRule="atLeast"/>
              <w:rPr>
                <w:rFonts w:ascii="Arial" w:hAnsi="Arial" w:cs="Arial"/>
                <w:sz w:val="20"/>
                <w:szCs w:val="20"/>
              </w:rPr>
            </w:pPr>
          </w:p>
          <w:p w:rsidR="008979F3" w:rsidRPr="00AF656C" w:rsidRDefault="008979F3" w:rsidP="004B6527">
            <w:pPr>
              <w:pStyle w:val="Paragraphedeliste"/>
              <w:numPr>
                <w:ilvl w:val="0"/>
                <w:numId w:val="4"/>
              </w:numPr>
              <w:spacing w:line="253" w:lineRule="atLeast"/>
              <w:jc w:val="both"/>
              <w:rPr>
                <w:rFonts w:ascii="Arial" w:hAnsi="Arial" w:cs="Arial"/>
                <w:sz w:val="20"/>
                <w:szCs w:val="20"/>
              </w:rPr>
            </w:pPr>
            <w:r w:rsidRPr="00AF656C">
              <w:rPr>
                <w:rFonts w:ascii="Arial" w:hAnsi="Arial" w:cs="Arial"/>
                <w:sz w:val="20"/>
                <w:szCs w:val="20"/>
              </w:rPr>
              <w:t>Animation auprès des utilisateurs</w:t>
            </w:r>
            <w:r w:rsidR="00AF656C">
              <w:rPr>
                <w:rFonts w:ascii="Arial" w:hAnsi="Arial" w:cs="Arial"/>
                <w:sz w:val="20"/>
                <w:szCs w:val="20"/>
              </w:rPr>
              <w:t> ;</w:t>
            </w:r>
          </w:p>
          <w:p w:rsidR="008979F3" w:rsidRPr="00AF656C" w:rsidRDefault="008979F3" w:rsidP="004B6527">
            <w:pPr>
              <w:pStyle w:val="Paragraphedeliste"/>
              <w:numPr>
                <w:ilvl w:val="0"/>
                <w:numId w:val="4"/>
              </w:numPr>
              <w:jc w:val="both"/>
              <w:rPr>
                <w:rFonts w:ascii="Arial" w:hAnsi="Arial" w:cs="Arial"/>
                <w:sz w:val="20"/>
                <w:szCs w:val="20"/>
              </w:rPr>
            </w:pPr>
            <w:r w:rsidRPr="00AF656C">
              <w:rPr>
                <w:rFonts w:ascii="Arial" w:hAnsi="Arial" w:cs="Arial"/>
                <w:sz w:val="20"/>
                <w:szCs w:val="20"/>
              </w:rPr>
              <w:t>Relais numérique sur les appels d’offres santé auprès des utilisateurs</w:t>
            </w:r>
            <w:r w:rsidR="00AF656C">
              <w:rPr>
                <w:rFonts w:ascii="Arial" w:hAnsi="Arial" w:cs="Arial"/>
                <w:sz w:val="20"/>
                <w:szCs w:val="20"/>
              </w:rPr>
              <w:t> ;</w:t>
            </w:r>
          </w:p>
          <w:p w:rsidR="008979F3" w:rsidRPr="008979F3" w:rsidRDefault="00AF656C" w:rsidP="004B6527">
            <w:pPr>
              <w:pStyle w:val="Paragraphedeliste"/>
              <w:spacing w:line="253" w:lineRule="atLeast"/>
              <w:ind w:left="360"/>
              <w:jc w:val="both"/>
              <w:rPr>
                <w:rFonts w:ascii="Arial" w:hAnsi="Arial" w:cs="Arial"/>
                <w:sz w:val="20"/>
                <w:szCs w:val="20"/>
              </w:rPr>
            </w:pPr>
            <w:r>
              <w:rPr>
                <w:rFonts w:ascii="Arial" w:hAnsi="Arial" w:cs="Arial"/>
                <w:sz w:val="20"/>
                <w:szCs w:val="20"/>
              </w:rPr>
              <w:t xml:space="preserve">-  </w:t>
            </w:r>
            <w:r w:rsidR="004B6527">
              <w:rPr>
                <w:rFonts w:ascii="Arial" w:hAnsi="Arial" w:cs="Arial"/>
                <w:sz w:val="20"/>
                <w:szCs w:val="20"/>
              </w:rPr>
              <w:t>M</w:t>
            </w:r>
            <w:r w:rsidR="008979F3" w:rsidRPr="00AF656C">
              <w:rPr>
                <w:rFonts w:ascii="Arial" w:hAnsi="Arial" w:cs="Arial"/>
                <w:sz w:val="20"/>
                <w:szCs w:val="20"/>
              </w:rPr>
              <w:t xml:space="preserve">ise en place d’une information/relais numérique public des </w:t>
            </w:r>
            <w:r>
              <w:rPr>
                <w:rFonts w:ascii="Arial" w:hAnsi="Arial" w:cs="Arial"/>
                <w:sz w:val="20"/>
                <w:szCs w:val="20"/>
              </w:rPr>
              <w:br/>
              <w:t xml:space="preserve">      </w:t>
            </w:r>
            <w:r w:rsidR="008979F3" w:rsidRPr="00AF656C">
              <w:rPr>
                <w:rFonts w:ascii="Arial" w:hAnsi="Arial" w:cs="Arial"/>
                <w:sz w:val="20"/>
                <w:szCs w:val="20"/>
              </w:rPr>
              <w:t xml:space="preserve">campagnes nationales de prévention et promotion de la santé sur la </w:t>
            </w:r>
            <w:r>
              <w:rPr>
                <w:rFonts w:ascii="Arial" w:hAnsi="Arial" w:cs="Arial"/>
                <w:sz w:val="20"/>
                <w:szCs w:val="20"/>
              </w:rPr>
              <w:br/>
              <w:t xml:space="preserve">      </w:t>
            </w:r>
            <w:r w:rsidR="008979F3" w:rsidRPr="00AF656C">
              <w:rPr>
                <w:rFonts w:ascii="Arial" w:hAnsi="Arial" w:cs="Arial"/>
                <w:sz w:val="20"/>
                <w:szCs w:val="20"/>
              </w:rPr>
              <w:t>page d’actualités</w:t>
            </w:r>
            <w:r w:rsidRPr="00AF656C">
              <w:rPr>
                <w:rFonts w:ascii="Arial" w:hAnsi="Arial" w:cs="Arial"/>
                <w:sz w:val="20"/>
                <w:szCs w:val="20"/>
              </w:rPr>
              <w:t>.</w:t>
            </w:r>
          </w:p>
        </w:tc>
      </w:tr>
      <w:tr w:rsidR="005C4530" w:rsidRPr="00354DE9" w:rsidTr="00996C61">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6973" w:type="dxa"/>
            <w:gridSpan w:val="4"/>
            <w:tcBorders>
              <w:bottom w:val="single" w:sz="4" w:space="0" w:color="auto"/>
            </w:tcBorders>
            <w:shd w:val="clear" w:color="auto" w:fill="auto"/>
            <w:vAlign w:val="center"/>
          </w:tcPr>
          <w:p w:rsidR="005C4530" w:rsidRPr="00354DE9" w:rsidRDefault="005C4530" w:rsidP="008979F3">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8979F3">
              <w:rPr>
                <w:rFonts w:ascii="Arial" w:hAnsi="Arial" w:cs="Arial"/>
                <w:sz w:val="20"/>
                <w:szCs w:val="20"/>
              </w:rPr>
              <w:fldChar w:fldCharType="begin">
                <w:ffData>
                  <w:name w:val=""/>
                  <w:enabled/>
                  <w:calcOnExit w:val="0"/>
                  <w:checkBox>
                    <w:sizeAuto/>
                    <w:default w:val="1"/>
                  </w:checkBox>
                </w:ffData>
              </w:fldChar>
            </w:r>
            <w:r w:rsidR="008979F3">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008979F3">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8979F3">
              <w:rPr>
                <w:rFonts w:ascii="Arial" w:hAnsi="Arial" w:cs="Arial"/>
                <w:sz w:val="20"/>
                <w:szCs w:val="20"/>
              </w:rPr>
              <w:fldChar w:fldCharType="begin">
                <w:ffData>
                  <w:name w:val=""/>
                  <w:enabled/>
                  <w:calcOnExit w:val="0"/>
                  <w:checkBox>
                    <w:sizeAuto/>
                    <w:default w:val="0"/>
                  </w:checkBox>
                </w:ffData>
              </w:fldChar>
            </w:r>
            <w:r w:rsidR="008979F3">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008979F3">
              <w:rPr>
                <w:rFonts w:ascii="Arial" w:hAnsi="Arial" w:cs="Arial"/>
                <w:sz w:val="20"/>
                <w:szCs w:val="20"/>
              </w:rPr>
              <w:fldChar w:fldCharType="end"/>
            </w:r>
            <w:r w:rsidR="00454C16">
              <w:rPr>
                <w:rFonts w:ascii="Arial" w:hAnsi="Arial" w:cs="Arial"/>
                <w:sz w:val="20"/>
                <w:szCs w:val="20"/>
              </w:rPr>
              <w:t>Ponctuelle </w:t>
            </w:r>
            <w:proofErr w:type="gramStart"/>
            <w:r w:rsidR="00454C16">
              <w:rPr>
                <w:rFonts w:ascii="Arial" w:hAnsi="Arial" w:cs="Arial"/>
                <w:sz w:val="20"/>
                <w:szCs w:val="20"/>
              </w:rPr>
              <w:t>:</w:t>
            </w:r>
            <w:proofErr w:type="gramEnd"/>
            <w:r>
              <w:rPr>
                <w:rFonts w:ascii="Arial" w:hAnsi="Arial" w:cs="Arial"/>
                <w:sz w:val="20"/>
                <w:szCs w:val="20"/>
              </w:rPr>
              <w:br/>
            </w:r>
            <w:r>
              <w:rPr>
                <w:rFonts w:ascii="Arial" w:hAnsi="Arial" w:cs="Arial"/>
                <w:sz w:val="20"/>
                <w:szCs w:val="20"/>
              </w:rPr>
              <w:br/>
              <w:t xml:space="preserve">Début : </w:t>
            </w:r>
            <w:r w:rsidR="008979F3">
              <w:rPr>
                <w:rFonts w:ascii="Arial" w:hAnsi="Arial" w:cs="Arial"/>
                <w:sz w:val="20"/>
                <w:szCs w:val="20"/>
              </w:rPr>
              <w:t xml:space="preserve">2020 </w:t>
            </w:r>
            <w:r>
              <w:rPr>
                <w:rFonts w:ascii="Arial" w:hAnsi="Arial" w:cs="Arial"/>
                <w:sz w:val="20"/>
                <w:szCs w:val="20"/>
              </w:rPr>
              <w:t xml:space="preserve">  Fin : </w:t>
            </w:r>
          </w:p>
        </w:tc>
      </w:tr>
      <w:tr w:rsidR="00354DE9" w:rsidRPr="00354DE9" w:rsidTr="00996C61">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rsidR="005843B6" w:rsidRDefault="003D2156" w:rsidP="00F16670">
            <w:pPr>
              <w:rPr>
                <w:rFonts w:ascii="Arial" w:hAnsi="Arial" w:cs="Arial"/>
                <w:sz w:val="20"/>
                <w:szCs w:val="20"/>
              </w:rPr>
            </w:pPr>
            <w:r>
              <w:rPr>
                <w:rFonts w:ascii="Arial" w:hAnsi="Arial" w:cs="Arial"/>
                <w:sz w:val="20"/>
                <w:szCs w:val="20"/>
              </w:rPr>
              <w:t>ARS</w:t>
            </w:r>
          </w:p>
          <w:p w:rsidR="003D2156" w:rsidRDefault="003D2156" w:rsidP="00F16670">
            <w:pPr>
              <w:rPr>
                <w:rFonts w:ascii="Arial" w:hAnsi="Arial" w:cs="Arial"/>
                <w:sz w:val="20"/>
                <w:szCs w:val="20"/>
              </w:rPr>
            </w:pPr>
            <w:r>
              <w:rPr>
                <w:rFonts w:ascii="Arial" w:hAnsi="Arial" w:cs="Arial"/>
                <w:sz w:val="20"/>
                <w:szCs w:val="20"/>
              </w:rPr>
              <w:t>PETR</w:t>
            </w:r>
          </w:p>
          <w:p w:rsidR="003D2156" w:rsidRPr="00354DE9" w:rsidRDefault="003D2156" w:rsidP="00F16670">
            <w:pPr>
              <w:rPr>
                <w:rFonts w:ascii="Arial" w:hAnsi="Arial" w:cs="Arial"/>
                <w:sz w:val="20"/>
                <w:szCs w:val="20"/>
              </w:rPr>
            </w:pPr>
            <w:r>
              <w:rPr>
                <w:rFonts w:ascii="Arial" w:hAnsi="Arial" w:cs="Arial"/>
                <w:sz w:val="20"/>
                <w:szCs w:val="20"/>
              </w:rPr>
              <w:t>Conseil Départemental 67</w:t>
            </w:r>
          </w:p>
        </w:tc>
      </w:tr>
      <w:tr w:rsidR="0046751A" w:rsidRPr="00354DE9" w:rsidTr="00AF656C">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773" w:type="dxa"/>
            <w:gridSpan w:val="3"/>
            <w:shd w:val="clear" w:color="auto" w:fill="auto"/>
            <w:vAlign w:val="center"/>
          </w:tcPr>
          <w:p w:rsidR="00AC64C8" w:rsidRPr="00EA7DFE" w:rsidRDefault="003D2156"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3D2156"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3D2156"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rsidR="0046751A" w:rsidRPr="00EA7DFE" w:rsidRDefault="003D2156"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Adultes (26 à 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Personnes âgées (&gt;65 ans)</w:t>
            </w:r>
          </w:p>
          <w:p w:rsidR="0046751A" w:rsidRPr="00EA7DFE" w:rsidRDefault="00BD43A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EA7DFE">
              <w:rPr>
                <w:rFonts w:ascii="Arial" w:hAnsi="Arial" w:cs="Arial"/>
                <w:sz w:val="20"/>
                <w:szCs w:val="20"/>
              </w:rPr>
              <w:fldChar w:fldCharType="end"/>
            </w:r>
            <w:r w:rsidR="00AF656C">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200"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13205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rsidR="0046751A" w:rsidRDefault="0013205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rsidR="008D747C" w:rsidRPr="00354DE9" w:rsidRDefault="00BD43A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rsidR="0046751A" w:rsidRDefault="0013205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132058"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prévention et de la promotion de la santé</w:t>
            </w:r>
            <w:r w:rsidR="0046751A" w:rsidRPr="00354DE9">
              <w:rPr>
                <w:rFonts w:ascii="Arial" w:hAnsi="Arial" w:cs="Arial"/>
                <w:sz w:val="20"/>
                <w:szCs w:val="20"/>
              </w:rPr>
              <w:t xml:space="preserve"> </w:t>
            </w:r>
          </w:p>
          <w:p w:rsidR="0046751A" w:rsidRPr="00354DE9" w:rsidRDefault="00BD43A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l’éducation/la formation</w:t>
            </w:r>
          </w:p>
          <w:p w:rsidR="0046751A" w:rsidRPr="00354DE9" w:rsidRDefault="00BD43A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C55AAD">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rsidR="008E2932" w:rsidRPr="00354DE9" w:rsidRDefault="00A44738" w:rsidP="00F16670">
            <w:pPr>
              <w:rPr>
                <w:rFonts w:ascii="Arial" w:hAnsi="Arial" w:cs="Arial"/>
                <w:sz w:val="20"/>
                <w:szCs w:val="20"/>
              </w:rPr>
            </w:pPr>
            <w:r>
              <w:rPr>
                <w:rFonts w:ascii="Arial" w:hAnsi="Arial" w:cs="Arial"/>
                <w:sz w:val="20"/>
                <w:szCs w:val="20"/>
              </w:rPr>
              <w:t xml:space="preserve">Pays </w:t>
            </w:r>
            <w:r w:rsidR="003D2156">
              <w:rPr>
                <w:rFonts w:ascii="Arial" w:hAnsi="Arial" w:cs="Arial"/>
                <w:sz w:val="20"/>
                <w:szCs w:val="20"/>
              </w:rPr>
              <w:t>d</w:t>
            </w:r>
            <w:r>
              <w:rPr>
                <w:rFonts w:ascii="Arial" w:hAnsi="Arial" w:cs="Arial"/>
                <w:sz w:val="20"/>
                <w:szCs w:val="20"/>
              </w:rPr>
              <w:t>e Saverne Plaine et Plateau</w:t>
            </w:r>
          </w:p>
        </w:tc>
      </w:tr>
      <w:tr w:rsidR="00F71D52" w:rsidRPr="00354DE9" w:rsidTr="00996C61">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rsidR="007452AB" w:rsidRPr="00354DE9" w:rsidRDefault="00461CBB" w:rsidP="00F16670">
            <w:pPr>
              <w:rPr>
                <w:rFonts w:ascii="Arial" w:hAnsi="Arial" w:cs="Arial"/>
                <w:sz w:val="20"/>
                <w:szCs w:val="20"/>
              </w:rPr>
            </w:pPr>
            <w:r>
              <w:rPr>
                <w:rFonts w:ascii="Arial" w:hAnsi="Arial" w:cs="Arial"/>
                <w:sz w:val="20"/>
                <w:szCs w:val="20"/>
              </w:rPr>
              <w:t>4</w:t>
            </w:r>
            <w:r w:rsidR="0066448C">
              <w:rPr>
                <w:rFonts w:ascii="Arial" w:hAnsi="Arial" w:cs="Arial"/>
                <w:sz w:val="20"/>
                <w:szCs w:val="20"/>
              </w:rPr>
              <w:t xml:space="preserve"> </w:t>
            </w:r>
            <w:r>
              <w:rPr>
                <w:rFonts w:ascii="Arial" w:hAnsi="Arial" w:cs="Arial"/>
                <w:sz w:val="20"/>
                <w:szCs w:val="20"/>
              </w:rPr>
              <w:t>000</w:t>
            </w:r>
            <w:r w:rsidR="00AF656C">
              <w:rPr>
                <w:rFonts w:ascii="Arial" w:hAnsi="Arial" w:cs="Arial"/>
                <w:sz w:val="20"/>
                <w:szCs w:val="20"/>
              </w:rPr>
              <w:t xml:space="preserve"> €</w:t>
            </w:r>
          </w:p>
        </w:tc>
      </w:tr>
      <w:tr w:rsidR="00F71D52" w:rsidRPr="00354DE9" w:rsidTr="00996C61">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rsidR="00F71D52" w:rsidRDefault="00FD44D1" w:rsidP="00F16670">
            <w:pPr>
              <w:rPr>
                <w:rFonts w:ascii="Arial" w:hAnsi="Arial" w:cs="Arial"/>
                <w:sz w:val="20"/>
                <w:szCs w:val="20"/>
              </w:rPr>
            </w:pPr>
            <w:r>
              <w:rPr>
                <w:rFonts w:ascii="Arial" w:hAnsi="Arial" w:cs="Arial"/>
                <w:sz w:val="20"/>
                <w:szCs w:val="20"/>
              </w:rPr>
              <w:t>ARS : 4</w:t>
            </w:r>
            <w:r w:rsidR="0066448C">
              <w:rPr>
                <w:rFonts w:ascii="Arial" w:hAnsi="Arial" w:cs="Arial"/>
                <w:sz w:val="20"/>
                <w:szCs w:val="20"/>
              </w:rPr>
              <w:t xml:space="preserve"> </w:t>
            </w:r>
            <w:r>
              <w:rPr>
                <w:rFonts w:ascii="Arial" w:hAnsi="Arial" w:cs="Arial"/>
                <w:sz w:val="20"/>
                <w:szCs w:val="20"/>
              </w:rPr>
              <w:t>000</w:t>
            </w:r>
            <w:r w:rsidR="00AF656C">
              <w:rPr>
                <w:rFonts w:ascii="Arial" w:hAnsi="Arial" w:cs="Arial"/>
                <w:sz w:val="20"/>
                <w:szCs w:val="20"/>
              </w:rPr>
              <w:t xml:space="preserve"> </w:t>
            </w:r>
            <w:r>
              <w:rPr>
                <w:rFonts w:ascii="Arial" w:hAnsi="Arial" w:cs="Arial"/>
                <w:sz w:val="20"/>
                <w:szCs w:val="20"/>
              </w:rPr>
              <w:t>€</w:t>
            </w:r>
            <w:r w:rsidR="00461CBB">
              <w:rPr>
                <w:rFonts w:ascii="Arial" w:hAnsi="Arial" w:cs="Arial"/>
                <w:sz w:val="20"/>
                <w:szCs w:val="20"/>
              </w:rPr>
              <w:t xml:space="preserve"> en 2020</w:t>
            </w:r>
          </w:p>
          <w:p w:rsidR="00FD44D1" w:rsidRPr="00354DE9" w:rsidRDefault="00FD44D1" w:rsidP="00F16670">
            <w:pPr>
              <w:rPr>
                <w:rFonts w:ascii="Arial" w:hAnsi="Arial" w:cs="Arial"/>
                <w:sz w:val="20"/>
                <w:szCs w:val="20"/>
              </w:rPr>
            </w:pPr>
          </w:p>
        </w:tc>
      </w:tr>
      <w:tr w:rsidR="00F71D52" w:rsidRPr="00354DE9" w:rsidTr="00996C61">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rsidR="00FD44D1" w:rsidRDefault="00FD44D1" w:rsidP="00F16670">
            <w:pPr>
              <w:rPr>
                <w:rFonts w:ascii="Arial" w:hAnsi="Arial" w:cs="Arial"/>
                <w:sz w:val="20"/>
                <w:szCs w:val="20"/>
              </w:rPr>
            </w:pPr>
            <w:r>
              <w:rPr>
                <w:rFonts w:ascii="Arial" w:hAnsi="Arial" w:cs="Arial"/>
                <w:sz w:val="20"/>
                <w:szCs w:val="20"/>
              </w:rPr>
              <w:t>PETR :</w:t>
            </w:r>
          </w:p>
          <w:p w:rsidR="00F71D52" w:rsidRPr="0066448C" w:rsidRDefault="0066448C" w:rsidP="0066448C">
            <w:pPr>
              <w:rPr>
                <w:rFonts w:ascii="Arial" w:hAnsi="Arial" w:cs="Arial"/>
                <w:sz w:val="20"/>
                <w:szCs w:val="20"/>
              </w:rPr>
            </w:pPr>
            <w:r>
              <w:rPr>
                <w:rFonts w:ascii="Arial" w:hAnsi="Arial" w:cs="Arial"/>
                <w:sz w:val="20"/>
                <w:szCs w:val="20"/>
              </w:rPr>
              <w:t>- M</w:t>
            </w:r>
            <w:r w:rsidR="00FD44D1" w:rsidRPr="0066448C">
              <w:rPr>
                <w:rFonts w:ascii="Arial" w:hAnsi="Arial" w:cs="Arial"/>
                <w:sz w:val="20"/>
                <w:szCs w:val="20"/>
              </w:rPr>
              <w:t>ise à disposition de l’hébergement du site internet</w:t>
            </w:r>
            <w:r w:rsidR="00AF656C" w:rsidRPr="0066448C">
              <w:rPr>
                <w:rFonts w:ascii="Arial" w:hAnsi="Arial" w:cs="Arial"/>
                <w:sz w:val="20"/>
                <w:szCs w:val="20"/>
              </w:rPr>
              <w:t> ;</w:t>
            </w:r>
          </w:p>
          <w:p w:rsidR="00FD44D1" w:rsidRPr="0066448C" w:rsidRDefault="0066448C" w:rsidP="0066448C">
            <w:pPr>
              <w:rPr>
                <w:rFonts w:ascii="Arial" w:hAnsi="Arial" w:cs="Arial"/>
                <w:sz w:val="20"/>
                <w:szCs w:val="20"/>
              </w:rPr>
            </w:pPr>
            <w:r>
              <w:rPr>
                <w:rFonts w:ascii="Arial" w:hAnsi="Arial" w:cs="Arial"/>
                <w:sz w:val="20"/>
                <w:szCs w:val="20"/>
              </w:rPr>
              <w:t>- T</w:t>
            </w:r>
            <w:r w:rsidR="00FD44D1" w:rsidRPr="0066448C">
              <w:rPr>
                <w:rFonts w:ascii="Arial" w:hAnsi="Arial" w:cs="Arial"/>
                <w:sz w:val="20"/>
                <w:szCs w:val="20"/>
              </w:rPr>
              <w:t>emps de travail de l’animateur CLS</w:t>
            </w:r>
            <w:r w:rsidR="00AF656C" w:rsidRPr="0066448C">
              <w:rPr>
                <w:rFonts w:ascii="Arial" w:hAnsi="Arial" w:cs="Arial"/>
                <w:sz w:val="20"/>
                <w:szCs w:val="20"/>
              </w:rPr>
              <w:t>.</w:t>
            </w:r>
          </w:p>
        </w:tc>
      </w:tr>
      <w:tr w:rsidR="00143098" w:rsidRPr="00354DE9" w:rsidTr="00EE163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132058"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w:t>
            </w:r>
            <w:r w:rsidR="00AF656C">
              <w:rPr>
                <w:rFonts w:ascii="Arial" w:eastAsia="Times New Roman" w:hAnsi="Arial" w:cs="Arial"/>
                <w:iCs/>
                <w:sz w:val="20"/>
                <w:szCs w:val="20"/>
                <w:lang w:eastAsia="fr-FR"/>
              </w:rPr>
              <w:br/>
              <w:t xml:space="preserve">     </w:t>
            </w:r>
            <w:r w:rsidRPr="00354DE9">
              <w:rPr>
                <w:rFonts w:ascii="Arial" w:eastAsia="Times New Roman" w:hAnsi="Arial" w:cs="Arial"/>
                <w:iCs/>
                <w:sz w:val="20"/>
                <w:szCs w:val="20"/>
                <w:lang w:eastAsia="fr-FR"/>
              </w:rPr>
              <w:t>sociales)</w:t>
            </w:r>
          </w:p>
          <w:p w:rsidR="00143098" w:rsidRPr="00354DE9" w:rsidRDefault="00132058"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1"/>
                  </w:checkBox>
                </w:ffData>
              </w:fldChar>
            </w:r>
            <w:bookmarkStart w:id="1" w:name="CaseACocher61"/>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bookmarkEnd w:id="1"/>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BD43A8"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A640A8"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AF656C">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w:t>
            </w:r>
            <w:r w:rsidR="00AF656C">
              <w:rPr>
                <w:rFonts w:ascii="Arial" w:eastAsia="Times New Roman" w:hAnsi="Arial" w:cs="Arial"/>
                <w:i/>
                <w:iCs/>
                <w:sz w:val="20"/>
                <w:szCs w:val="20"/>
                <w:lang w:eastAsia="fr-FR"/>
              </w:rPr>
              <w:t>limentation, activité physique,</w:t>
            </w:r>
            <w:r w:rsidR="00143098" w:rsidRPr="00EA7DFE">
              <w:rPr>
                <w:rFonts w:ascii="Arial" w:eastAsia="Times New Roman" w:hAnsi="Arial" w:cs="Arial"/>
                <w:i/>
                <w:iCs/>
                <w:sz w:val="20"/>
                <w:szCs w:val="20"/>
                <w:lang w:eastAsia="fr-FR"/>
              </w:rPr>
              <w:t>…)</w:t>
            </w:r>
          </w:p>
          <w:p w:rsidR="00143098" w:rsidRPr="00EA7DFE" w:rsidRDefault="00A640A8"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A640A8"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 xml:space="preserve">(logement, loisir, services </w:t>
            </w:r>
            <w:r w:rsidR="00AF656C">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sociaux et éducatifs, alimentatio</w:t>
            </w:r>
            <w:r w:rsidR="00AF656C">
              <w:rPr>
                <w:rFonts w:ascii="Arial" w:eastAsia="Times New Roman" w:hAnsi="Arial" w:cs="Arial"/>
                <w:i/>
                <w:iCs/>
                <w:sz w:val="20"/>
                <w:szCs w:val="20"/>
                <w:lang w:eastAsia="fr-FR"/>
              </w:rPr>
              <w:t>n</w:t>
            </w:r>
            <w:r w:rsidR="00143098" w:rsidRPr="00354DE9">
              <w:rPr>
                <w:rFonts w:ascii="Arial" w:eastAsia="Times New Roman" w:hAnsi="Arial" w:cs="Arial"/>
                <w:i/>
                <w:iCs/>
                <w:sz w:val="20"/>
                <w:szCs w:val="20"/>
                <w:lang w:eastAsia="fr-FR"/>
              </w:rPr>
              <w:t>…)</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AE0A6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A640A8"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rsidR="00143098" w:rsidRPr="00354DE9" w:rsidRDefault="00A44738"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 xml:space="preserve">(prise en compte des déterminants de santé </w:t>
            </w:r>
            <w:r w:rsidR="00AF656C">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dans les politiques)</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55AAD">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E163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rsidR="001361D6" w:rsidRDefault="00BD43A8" w:rsidP="00BD43A8">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EE163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rsidR="00DB1DCC" w:rsidRPr="00354DE9" w:rsidRDefault="00DB1DCC" w:rsidP="00DB1DCC">
            <w:pPr>
              <w:spacing w:line="253" w:lineRule="atLeast"/>
              <w:rPr>
                <w:rFonts w:ascii="Arial" w:eastAsia="Times New Roman" w:hAnsi="Arial" w:cs="Arial"/>
                <w:bCs/>
                <w:i/>
                <w:sz w:val="20"/>
                <w:szCs w:val="20"/>
                <w:lang w:eastAsia="fr-FR"/>
              </w:rPr>
            </w:pPr>
          </w:p>
        </w:tc>
      </w:tr>
      <w:tr w:rsidR="00562D16" w:rsidRPr="00354DE9" w:rsidTr="00EE163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rsidR="00562D16" w:rsidRPr="00354DE9" w:rsidRDefault="001361D6" w:rsidP="00D9224D">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A640A8">
              <w:rPr>
                <w:rFonts w:ascii="Arial" w:hAnsi="Arial" w:cs="Arial"/>
                <w:sz w:val="20"/>
                <w:szCs w:val="20"/>
              </w:rPr>
              <w:fldChar w:fldCharType="begin">
                <w:ffData>
                  <w:name w:val=""/>
                  <w:enabled/>
                  <w:calcOnExit w:val="0"/>
                  <w:checkBox>
                    <w:sizeAuto/>
                    <w:default w:val="1"/>
                  </w:checkBox>
                </w:ffData>
              </w:fldChar>
            </w:r>
            <w:r w:rsidR="00A640A8">
              <w:rPr>
                <w:rFonts w:ascii="Arial" w:hAnsi="Arial" w:cs="Arial"/>
                <w:sz w:val="20"/>
                <w:szCs w:val="20"/>
              </w:rPr>
              <w:instrText xml:space="preserve"> FORMCHECKBOX </w:instrText>
            </w:r>
            <w:r w:rsidR="00306E5C">
              <w:rPr>
                <w:rFonts w:ascii="Arial" w:hAnsi="Arial" w:cs="Arial"/>
                <w:sz w:val="20"/>
                <w:szCs w:val="20"/>
              </w:rPr>
            </w:r>
            <w:r w:rsidR="00306E5C">
              <w:rPr>
                <w:rFonts w:ascii="Arial" w:hAnsi="Arial" w:cs="Arial"/>
                <w:sz w:val="20"/>
                <w:szCs w:val="20"/>
              </w:rPr>
              <w:fldChar w:fldCharType="separate"/>
            </w:r>
            <w:r w:rsidR="00A640A8">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C55AAD">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Default="00D9224D" w:rsidP="00236FB1">
            <w:pPr>
              <w:spacing w:line="253" w:lineRule="atLeast"/>
              <w:rPr>
                <w:rFonts w:ascii="Arial" w:hAnsi="Arial" w:cs="Arial"/>
                <w:b/>
                <w:i/>
                <w:sz w:val="20"/>
                <w:szCs w:val="20"/>
                <w:u w:val="single"/>
              </w:rPr>
            </w:pPr>
          </w:p>
          <w:p w:rsidR="00F71D52" w:rsidRDefault="00F71D52" w:rsidP="001772B5">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rsidR="00306E5C" w:rsidRDefault="00306E5C" w:rsidP="001772B5">
            <w:pPr>
              <w:spacing w:line="253" w:lineRule="atLeast"/>
              <w:rPr>
                <w:rFonts w:ascii="Arial" w:hAnsi="Arial" w:cs="Arial"/>
                <w:i/>
                <w:sz w:val="20"/>
                <w:szCs w:val="20"/>
              </w:rPr>
            </w:pPr>
          </w:p>
          <w:p w:rsidR="001772B5" w:rsidRPr="001772B5" w:rsidRDefault="001772B5" w:rsidP="001772B5">
            <w:pPr>
              <w:jc w:val="both"/>
              <w:rPr>
                <w:rFonts w:ascii="Arial" w:hAnsi="Arial" w:cs="Arial"/>
                <w:sz w:val="20"/>
                <w:szCs w:val="20"/>
              </w:rPr>
            </w:pPr>
            <w:r>
              <w:rPr>
                <w:rFonts w:ascii="Arial" w:hAnsi="Arial"/>
              </w:rPr>
              <w:t xml:space="preserve">- </w:t>
            </w:r>
            <w:r w:rsidRPr="001772B5">
              <w:rPr>
                <w:rFonts w:ascii="Arial" w:hAnsi="Arial" w:cs="Arial"/>
                <w:sz w:val="20"/>
                <w:szCs w:val="20"/>
              </w:rPr>
              <w:t>Respect d</w:t>
            </w:r>
            <w:r w:rsidR="00A640A8">
              <w:rPr>
                <w:rFonts w:ascii="Arial" w:hAnsi="Arial" w:cs="Arial"/>
                <w:sz w:val="20"/>
                <w:szCs w:val="20"/>
              </w:rPr>
              <w:t>u calendrier</w:t>
            </w:r>
          </w:p>
          <w:p w:rsidR="001772B5" w:rsidRPr="001772B5" w:rsidRDefault="001772B5" w:rsidP="001772B5">
            <w:pPr>
              <w:jc w:val="both"/>
              <w:rPr>
                <w:rFonts w:ascii="Arial" w:hAnsi="Arial" w:cs="Arial"/>
                <w:sz w:val="20"/>
                <w:szCs w:val="20"/>
              </w:rPr>
            </w:pPr>
            <w:r w:rsidRPr="001772B5">
              <w:rPr>
                <w:rFonts w:ascii="Arial" w:hAnsi="Arial" w:cs="Arial"/>
                <w:sz w:val="20"/>
                <w:szCs w:val="20"/>
              </w:rPr>
              <w:t xml:space="preserve">- Respect des actions prévues/actions réalisées </w:t>
            </w:r>
          </w:p>
          <w:p w:rsidR="001772B5" w:rsidRPr="001772B5" w:rsidRDefault="001772B5" w:rsidP="001772B5">
            <w:pPr>
              <w:jc w:val="both"/>
              <w:rPr>
                <w:rFonts w:ascii="Arial" w:hAnsi="Arial" w:cs="Arial"/>
                <w:sz w:val="20"/>
                <w:szCs w:val="20"/>
              </w:rPr>
            </w:pPr>
            <w:r w:rsidRPr="001772B5">
              <w:rPr>
                <w:rFonts w:ascii="Arial" w:hAnsi="Arial" w:cs="Arial"/>
                <w:sz w:val="20"/>
                <w:szCs w:val="20"/>
              </w:rPr>
              <w:t xml:space="preserve">- Financements prévus/financements obtenus </w:t>
            </w:r>
          </w:p>
          <w:p w:rsidR="00A44738" w:rsidRPr="001772B5" w:rsidRDefault="00A44738" w:rsidP="001772B5">
            <w:pPr>
              <w:jc w:val="both"/>
              <w:rPr>
                <w:rFonts w:ascii="Arial" w:hAnsi="Arial" w:cs="Arial"/>
                <w:sz w:val="20"/>
                <w:szCs w:val="20"/>
              </w:rPr>
            </w:pPr>
          </w:p>
          <w:p w:rsidR="00F71D52" w:rsidRDefault="00F71D52" w:rsidP="00F16670">
            <w:pPr>
              <w:spacing w:line="253" w:lineRule="atLeast"/>
              <w:rPr>
                <w:rFonts w:ascii="Arial" w:hAnsi="Arial" w:cs="Arial"/>
                <w:b/>
                <w:i/>
                <w:sz w:val="2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p>
          <w:p w:rsidR="00306E5C" w:rsidRDefault="00306E5C" w:rsidP="00F16670">
            <w:pPr>
              <w:spacing w:line="253" w:lineRule="atLeast"/>
              <w:rPr>
                <w:rFonts w:ascii="Arial" w:hAnsi="Arial" w:cs="Arial"/>
                <w:b/>
                <w:i/>
                <w:sz w:val="20"/>
                <w:szCs w:val="20"/>
              </w:rPr>
            </w:pPr>
          </w:p>
          <w:p w:rsidR="005843B6" w:rsidRPr="005843B6" w:rsidRDefault="005843B6" w:rsidP="005843B6">
            <w:pPr>
              <w:jc w:val="both"/>
              <w:rPr>
                <w:rFonts w:ascii="Arial" w:hAnsi="Arial" w:cs="Arial"/>
                <w:sz w:val="20"/>
                <w:szCs w:val="20"/>
              </w:rPr>
            </w:pPr>
            <w:r w:rsidRPr="005843B6">
              <w:rPr>
                <w:rFonts w:ascii="Arial" w:hAnsi="Arial" w:cs="Arial"/>
                <w:sz w:val="20"/>
                <w:szCs w:val="20"/>
              </w:rPr>
              <w:t xml:space="preserve">- </w:t>
            </w:r>
            <w:r w:rsidR="00A640A8">
              <w:rPr>
                <w:rFonts w:ascii="Arial" w:hAnsi="Arial" w:cs="Arial"/>
                <w:sz w:val="20"/>
                <w:szCs w:val="20"/>
              </w:rPr>
              <w:t>Fonctionnement de la plate-forme</w:t>
            </w:r>
            <w:r w:rsidRPr="005843B6">
              <w:rPr>
                <w:rFonts w:ascii="Arial" w:hAnsi="Arial" w:cs="Arial"/>
                <w:sz w:val="20"/>
                <w:szCs w:val="20"/>
              </w:rPr>
              <w:t xml:space="preserve"> </w:t>
            </w:r>
            <w:r w:rsidR="00A640A8">
              <w:rPr>
                <w:rFonts w:ascii="Arial" w:hAnsi="Arial" w:cs="Arial"/>
                <w:sz w:val="20"/>
                <w:szCs w:val="20"/>
              </w:rPr>
              <w:t>Web santé PSPP</w:t>
            </w:r>
          </w:p>
          <w:p w:rsidR="005843B6" w:rsidRPr="005843B6" w:rsidRDefault="005843B6" w:rsidP="005843B6">
            <w:pPr>
              <w:jc w:val="both"/>
              <w:rPr>
                <w:rFonts w:ascii="Arial" w:hAnsi="Arial" w:cs="Arial"/>
                <w:sz w:val="20"/>
                <w:szCs w:val="20"/>
              </w:rPr>
            </w:pPr>
            <w:r w:rsidRPr="005843B6">
              <w:rPr>
                <w:rFonts w:ascii="Arial" w:hAnsi="Arial" w:cs="Arial"/>
                <w:sz w:val="20"/>
                <w:szCs w:val="20"/>
              </w:rPr>
              <w:t xml:space="preserve">- </w:t>
            </w:r>
            <w:r w:rsidR="00A640A8">
              <w:rPr>
                <w:rFonts w:ascii="Arial" w:hAnsi="Arial" w:cs="Arial"/>
                <w:sz w:val="20"/>
                <w:szCs w:val="20"/>
              </w:rPr>
              <w:t>Nombre de questions posées/réponses obtenues</w:t>
            </w:r>
            <w:r w:rsidRPr="005843B6">
              <w:rPr>
                <w:rFonts w:ascii="Arial" w:hAnsi="Arial" w:cs="Arial"/>
                <w:sz w:val="20"/>
                <w:szCs w:val="20"/>
              </w:rPr>
              <w:t xml:space="preserve"> </w:t>
            </w:r>
          </w:p>
          <w:p w:rsidR="005843B6" w:rsidRPr="005843B6" w:rsidRDefault="005843B6" w:rsidP="005843B6">
            <w:pPr>
              <w:jc w:val="both"/>
              <w:rPr>
                <w:rFonts w:ascii="Arial" w:hAnsi="Arial" w:cs="Arial"/>
                <w:sz w:val="20"/>
                <w:szCs w:val="20"/>
              </w:rPr>
            </w:pPr>
            <w:r>
              <w:rPr>
                <w:rFonts w:ascii="Arial" w:hAnsi="Arial" w:cs="Arial"/>
                <w:sz w:val="20"/>
                <w:szCs w:val="20"/>
              </w:rPr>
              <w:t>-</w:t>
            </w:r>
            <w:r w:rsidR="00AF656C">
              <w:rPr>
                <w:rFonts w:ascii="Arial" w:hAnsi="Arial" w:cs="Arial"/>
                <w:sz w:val="20"/>
                <w:szCs w:val="20"/>
              </w:rPr>
              <w:t xml:space="preserve"> </w:t>
            </w:r>
            <w:r>
              <w:rPr>
                <w:rFonts w:ascii="Arial" w:hAnsi="Arial" w:cs="Arial"/>
                <w:sz w:val="20"/>
                <w:szCs w:val="20"/>
              </w:rPr>
              <w:t>Nombre d’actions d’information-</w:t>
            </w:r>
            <w:proofErr w:type="spellStart"/>
            <w:r>
              <w:rPr>
                <w:rFonts w:ascii="Arial" w:hAnsi="Arial" w:cs="Arial"/>
                <w:sz w:val="20"/>
                <w:szCs w:val="20"/>
              </w:rPr>
              <w:t>sensibilisaion</w:t>
            </w:r>
            <w:proofErr w:type="spellEnd"/>
            <w:r>
              <w:rPr>
                <w:rFonts w:ascii="Arial" w:hAnsi="Arial" w:cs="Arial"/>
                <w:sz w:val="20"/>
                <w:szCs w:val="20"/>
              </w:rPr>
              <w:t xml:space="preserve"> organisées vers le public</w:t>
            </w:r>
            <w:r w:rsidR="00AF656C">
              <w:rPr>
                <w:rFonts w:ascii="Arial" w:hAnsi="Arial" w:cs="Arial"/>
                <w:sz w:val="20"/>
                <w:szCs w:val="20"/>
              </w:rPr>
              <w:br/>
              <w:t xml:space="preserve">  </w:t>
            </w:r>
            <w:r>
              <w:rPr>
                <w:rFonts w:ascii="Arial" w:hAnsi="Arial" w:cs="Arial"/>
                <w:sz w:val="20"/>
                <w:szCs w:val="20"/>
              </w:rPr>
              <w:t xml:space="preserve"> visé</w:t>
            </w:r>
          </w:p>
          <w:p w:rsidR="001772B5" w:rsidRPr="001772B5" w:rsidRDefault="001772B5" w:rsidP="001772B5">
            <w:pPr>
              <w:jc w:val="both"/>
              <w:rPr>
                <w:rFonts w:ascii="Arial" w:hAnsi="Arial" w:cs="Arial"/>
                <w:sz w:val="20"/>
                <w:szCs w:val="20"/>
              </w:rPr>
            </w:pPr>
            <w:r>
              <w:rPr>
                <w:rFonts w:ascii="Arial" w:hAnsi="Arial" w:cs="Arial"/>
                <w:sz w:val="20"/>
                <w:szCs w:val="20"/>
              </w:rPr>
              <w:t xml:space="preserve">- </w:t>
            </w:r>
            <w:r w:rsidRPr="001772B5">
              <w:rPr>
                <w:rFonts w:ascii="Arial" w:hAnsi="Arial" w:cs="Arial"/>
                <w:sz w:val="20"/>
                <w:szCs w:val="20"/>
              </w:rPr>
              <w:t>Nombre de structures impliquées dans l</w:t>
            </w:r>
            <w:r w:rsidR="00BB4009">
              <w:rPr>
                <w:rFonts w:ascii="Arial" w:hAnsi="Arial" w:cs="Arial"/>
                <w:sz w:val="20"/>
                <w:szCs w:val="20"/>
              </w:rPr>
              <w:t>’action</w:t>
            </w:r>
          </w:p>
          <w:p w:rsidR="006C222A" w:rsidRPr="00413208" w:rsidRDefault="006C222A" w:rsidP="00F16670">
            <w:pPr>
              <w:spacing w:line="253" w:lineRule="atLeast"/>
              <w:rPr>
                <w:rFonts w:ascii="Arial" w:eastAsia="Times New Roman" w:hAnsi="Arial" w:cs="Arial"/>
                <w:b/>
                <w:bCs/>
                <w:i/>
                <w:sz w:val="20"/>
                <w:szCs w:val="20"/>
                <w:lang w:eastAsia="fr-FR"/>
              </w:rPr>
            </w:pPr>
          </w:p>
          <w:p w:rsidR="006C222A" w:rsidRDefault="00200CC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rsidR="00306E5C" w:rsidRDefault="00306E5C" w:rsidP="00F16670">
            <w:pPr>
              <w:spacing w:line="253" w:lineRule="atLeast"/>
              <w:rPr>
                <w:rFonts w:ascii="Arial" w:eastAsia="Times New Roman" w:hAnsi="Arial" w:cs="Arial"/>
                <w:b/>
                <w:bCs/>
                <w:i/>
                <w:sz w:val="20"/>
                <w:szCs w:val="20"/>
                <w:lang w:eastAsia="fr-FR"/>
              </w:rPr>
            </w:pPr>
          </w:p>
          <w:p w:rsidR="00A640A8" w:rsidRDefault="00A640A8" w:rsidP="00A640A8">
            <w:pPr>
              <w:jc w:val="both"/>
              <w:rPr>
                <w:rFonts w:ascii="Arial" w:hAnsi="Arial" w:cs="Arial"/>
                <w:sz w:val="20"/>
                <w:szCs w:val="20"/>
              </w:rPr>
            </w:pPr>
            <w:r w:rsidRPr="00A640A8">
              <w:rPr>
                <w:rFonts w:ascii="Arial" w:hAnsi="Arial" w:cs="Arial"/>
                <w:sz w:val="20"/>
                <w:szCs w:val="20"/>
              </w:rPr>
              <w:t xml:space="preserve">Pertinence des réponses </w:t>
            </w:r>
          </w:p>
          <w:p w:rsidR="00A640A8" w:rsidRDefault="00A640A8" w:rsidP="00A640A8">
            <w:pPr>
              <w:jc w:val="both"/>
              <w:rPr>
                <w:rFonts w:ascii="Arial" w:hAnsi="Arial" w:cs="Arial"/>
                <w:sz w:val="20"/>
                <w:szCs w:val="20"/>
              </w:rPr>
            </w:pPr>
            <w:r>
              <w:rPr>
                <w:rFonts w:ascii="Arial" w:hAnsi="Arial" w:cs="Arial"/>
                <w:sz w:val="20"/>
                <w:szCs w:val="20"/>
              </w:rPr>
              <w:t>Satisfaction des professionnels</w:t>
            </w:r>
          </w:p>
          <w:p w:rsidR="00562D16" w:rsidRPr="00A640A8" w:rsidRDefault="00A640A8" w:rsidP="00A640A8">
            <w:pPr>
              <w:jc w:val="both"/>
              <w:rPr>
                <w:rFonts w:ascii="Arial" w:hAnsi="Arial" w:cs="Arial"/>
                <w:sz w:val="20"/>
                <w:szCs w:val="20"/>
              </w:rPr>
            </w:pPr>
            <w:r>
              <w:rPr>
                <w:rFonts w:ascii="Arial" w:hAnsi="Arial" w:cs="Arial"/>
                <w:sz w:val="20"/>
                <w:szCs w:val="20"/>
              </w:rPr>
              <w:t>Nombre de réponses aux appels d’offres en santé</w:t>
            </w:r>
          </w:p>
          <w:p w:rsidR="00A640A8" w:rsidRDefault="00A640A8" w:rsidP="00F16670">
            <w:pPr>
              <w:spacing w:line="253" w:lineRule="atLeast"/>
              <w:rPr>
                <w:rFonts w:ascii="Arial" w:eastAsia="Times New Roman" w:hAnsi="Arial" w:cs="Arial"/>
                <w:bCs/>
                <w:i/>
                <w:sz w:val="20"/>
                <w:szCs w:val="20"/>
                <w:lang w:eastAsia="fr-FR"/>
              </w:rPr>
            </w:pPr>
          </w:p>
          <w:p w:rsidR="00562D16" w:rsidRDefault="00562D16" w:rsidP="00F16670">
            <w:pPr>
              <w:spacing w:line="253" w:lineRule="atLeast"/>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rsidR="00306E5C" w:rsidRDefault="00306E5C" w:rsidP="00F16670">
            <w:pPr>
              <w:spacing w:line="253" w:lineRule="atLeast"/>
              <w:rPr>
                <w:rFonts w:ascii="Arial" w:eastAsia="Times New Roman" w:hAnsi="Arial" w:cs="Arial"/>
                <w:b/>
                <w:bCs/>
                <w:i/>
                <w:sz w:val="20"/>
                <w:szCs w:val="20"/>
                <w:lang w:eastAsia="fr-FR"/>
              </w:rPr>
            </w:pPr>
          </w:p>
          <w:p w:rsidR="00EA7DFE" w:rsidRPr="00DB367C" w:rsidRDefault="001772B5" w:rsidP="00F16670">
            <w:pPr>
              <w:spacing w:line="253" w:lineRule="atLeast"/>
              <w:rPr>
                <w:rFonts w:ascii="Arial" w:eastAsia="Times New Roman" w:hAnsi="Arial" w:cs="Arial"/>
                <w:bCs/>
                <w:i/>
                <w:sz w:val="20"/>
                <w:szCs w:val="20"/>
                <w:lang w:eastAsia="fr-FR"/>
              </w:rPr>
            </w:pPr>
            <w:bookmarkStart w:id="2" w:name="_GoBack"/>
            <w:bookmarkEnd w:id="2"/>
            <w:r>
              <w:rPr>
                <w:rFonts w:ascii="Arial" w:eastAsia="Times New Roman" w:hAnsi="Arial" w:cs="Arial"/>
                <w:b/>
                <w:bCs/>
                <w:i/>
                <w:sz w:val="20"/>
                <w:szCs w:val="20"/>
                <w:lang w:eastAsia="fr-FR"/>
              </w:rPr>
              <w:t>Evaluat</w:t>
            </w:r>
            <w:r w:rsidR="009B0D98">
              <w:rPr>
                <w:rFonts w:ascii="Arial" w:eastAsia="Times New Roman" w:hAnsi="Arial" w:cs="Arial"/>
                <w:b/>
                <w:bCs/>
                <w:i/>
                <w:sz w:val="20"/>
                <w:szCs w:val="20"/>
                <w:lang w:eastAsia="fr-FR"/>
              </w:rPr>
              <w:t>i</w:t>
            </w:r>
            <w:r>
              <w:rPr>
                <w:rFonts w:ascii="Arial" w:eastAsia="Times New Roman" w:hAnsi="Arial" w:cs="Arial"/>
                <w:b/>
                <w:bCs/>
                <w:i/>
                <w:sz w:val="20"/>
                <w:szCs w:val="20"/>
                <w:lang w:eastAsia="fr-FR"/>
              </w:rPr>
              <w:t>on en interne</w:t>
            </w:r>
            <w:r w:rsidR="009B0D98">
              <w:rPr>
                <w:rFonts w:ascii="Arial" w:eastAsia="Times New Roman" w:hAnsi="Arial" w:cs="Arial"/>
                <w:b/>
                <w:bCs/>
                <w:i/>
                <w:sz w:val="20"/>
                <w:szCs w:val="20"/>
                <w:lang w:eastAsia="fr-FR"/>
              </w:rPr>
              <w:t xml:space="preserve"> : </w:t>
            </w:r>
            <w:r w:rsidR="009B0D98" w:rsidRPr="00DB367C">
              <w:rPr>
                <w:rFonts w:ascii="Arial" w:eastAsia="Times New Roman" w:hAnsi="Arial" w:cs="Arial"/>
                <w:bCs/>
                <w:i/>
                <w:sz w:val="20"/>
                <w:szCs w:val="20"/>
                <w:lang w:eastAsia="fr-FR"/>
              </w:rPr>
              <w:t>questionnaire aux utilisateurs de la plate-forme</w:t>
            </w:r>
          </w:p>
          <w:p w:rsidR="0066448C" w:rsidRPr="00562D16" w:rsidRDefault="0066448C" w:rsidP="00F16670">
            <w:pPr>
              <w:spacing w:line="253" w:lineRule="atLeast"/>
              <w:rPr>
                <w:rFonts w:ascii="Arial" w:eastAsia="Times New Roman" w:hAnsi="Arial" w:cs="Arial"/>
                <w:b/>
                <w:bCs/>
                <w:i/>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8DA" w:rsidRDefault="005748DA" w:rsidP="000F65D0">
      <w:pPr>
        <w:spacing w:after="0" w:line="240" w:lineRule="auto"/>
      </w:pPr>
      <w:r>
        <w:separator/>
      </w:r>
    </w:p>
  </w:endnote>
  <w:endnote w:type="continuationSeparator" w:id="0">
    <w:p w:rsidR="005748DA" w:rsidRDefault="005748DA"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8DA" w:rsidRDefault="005748DA" w:rsidP="000F65D0">
      <w:pPr>
        <w:spacing w:after="0" w:line="240" w:lineRule="auto"/>
      </w:pPr>
      <w:r>
        <w:separator/>
      </w:r>
    </w:p>
  </w:footnote>
  <w:footnote w:type="continuationSeparator" w:id="0">
    <w:p w:rsidR="005748DA" w:rsidRDefault="005748DA"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5F1FCE"/>
    <w:multiLevelType w:val="hybridMultilevel"/>
    <w:tmpl w:val="69D818A2"/>
    <w:lvl w:ilvl="0" w:tplc="32FC533A">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271790"/>
    <w:multiLevelType w:val="hybridMultilevel"/>
    <w:tmpl w:val="C96CC8EA"/>
    <w:lvl w:ilvl="0" w:tplc="E7C40A7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2A3FFF"/>
    <w:multiLevelType w:val="hybridMultilevel"/>
    <w:tmpl w:val="9FA03B74"/>
    <w:lvl w:ilvl="0" w:tplc="AC20BBEA">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536D24"/>
    <w:multiLevelType w:val="hybridMultilevel"/>
    <w:tmpl w:val="9280A530"/>
    <w:lvl w:ilvl="0" w:tplc="32FC533A">
      <w:start w:val="7"/>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0722D"/>
    <w:rsid w:val="000369F8"/>
    <w:rsid w:val="000415CE"/>
    <w:rsid w:val="000467C4"/>
    <w:rsid w:val="000663A6"/>
    <w:rsid w:val="0007266E"/>
    <w:rsid w:val="00081313"/>
    <w:rsid w:val="0009071D"/>
    <w:rsid w:val="00092B06"/>
    <w:rsid w:val="00095BF8"/>
    <w:rsid w:val="000B410A"/>
    <w:rsid w:val="000C59CB"/>
    <w:rsid w:val="000D20D5"/>
    <w:rsid w:val="000F65D0"/>
    <w:rsid w:val="00132058"/>
    <w:rsid w:val="001361D6"/>
    <w:rsid w:val="00143098"/>
    <w:rsid w:val="001514A1"/>
    <w:rsid w:val="00155A3B"/>
    <w:rsid w:val="001772B5"/>
    <w:rsid w:val="001A363E"/>
    <w:rsid w:val="001B5676"/>
    <w:rsid w:val="001B66A4"/>
    <w:rsid w:val="001D2B35"/>
    <w:rsid w:val="001D3C27"/>
    <w:rsid w:val="001D5A64"/>
    <w:rsid w:val="001F3366"/>
    <w:rsid w:val="00200CC5"/>
    <w:rsid w:val="00220C2D"/>
    <w:rsid w:val="00232B63"/>
    <w:rsid w:val="00232D46"/>
    <w:rsid w:val="002369FA"/>
    <w:rsid w:val="00236FB1"/>
    <w:rsid w:val="00283654"/>
    <w:rsid w:val="002A03EA"/>
    <w:rsid w:val="002B2249"/>
    <w:rsid w:val="002B64AB"/>
    <w:rsid w:val="002C3F5E"/>
    <w:rsid w:val="002C5D0C"/>
    <w:rsid w:val="002E030B"/>
    <w:rsid w:val="002E571E"/>
    <w:rsid w:val="002F799F"/>
    <w:rsid w:val="00302BF2"/>
    <w:rsid w:val="00306E5C"/>
    <w:rsid w:val="0031277A"/>
    <w:rsid w:val="00317EE6"/>
    <w:rsid w:val="003211AB"/>
    <w:rsid w:val="00331C77"/>
    <w:rsid w:val="00354DE9"/>
    <w:rsid w:val="0036710F"/>
    <w:rsid w:val="003723DA"/>
    <w:rsid w:val="0039458C"/>
    <w:rsid w:val="003B3017"/>
    <w:rsid w:val="003B50D4"/>
    <w:rsid w:val="003C1972"/>
    <w:rsid w:val="003C5A06"/>
    <w:rsid w:val="003C7858"/>
    <w:rsid w:val="003D2156"/>
    <w:rsid w:val="003D3A7D"/>
    <w:rsid w:val="003D7039"/>
    <w:rsid w:val="003E06AB"/>
    <w:rsid w:val="003E6827"/>
    <w:rsid w:val="003F4186"/>
    <w:rsid w:val="00406721"/>
    <w:rsid w:val="00413208"/>
    <w:rsid w:val="004205F4"/>
    <w:rsid w:val="004438EA"/>
    <w:rsid w:val="004538FE"/>
    <w:rsid w:val="00454C16"/>
    <w:rsid w:val="00461CBB"/>
    <w:rsid w:val="0046751A"/>
    <w:rsid w:val="00470F3C"/>
    <w:rsid w:val="00485C93"/>
    <w:rsid w:val="00497CC6"/>
    <w:rsid w:val="004B09AF"/>
    <w:rsid w:val="004B6527"/>
    <w:rsid w:val="004D2233"/>
    <w:rsid w:val="004E3FC8"/>
    <w:rsid w:val="00514B68"/>
    <w:rsid w:val="00520A61"/>
    <w:rsid w:val="005259C1"/>
    <w:rsid w:val="005279BE"/>
    <w:rsid w:val="005424C3"/>
    <w:rsid w:val="00562D16"/>
    <w:rsid w:val="00565122"/>
    <w:rsid w:val="0057104E"/>
    <w:rsid w:val="005748DA"/>
    <w:rsid w:val="00581B8F"/>
    <w:rsid w:val="005843B6"/>
    <w:rsid w:val="0058636E"/>
    <w:rsid w:val="005B3191"/>
    <w:rsid w:val="005C4530"/>
    <w:rsid w:val="005C6B90"/>
    <w:rsid w:val="005D223B"/>
    <w:rsid w:val="005E3E50"/>
    <w:rsid w:val="005F1B88"/>
    <w:rsid w:val="00603E4F"/>
    <w:rsid w:val="006075C2"/>
    <w:rsid w:val="006103D7"/>
    <w:rsid w:val="00635DD5"/>
    <w:rsid w:val="00642029"/>
    <w:rsid w:val="00645F05"/>
    <w:rsid w:val="0066448C"/>
    <w:rsid w:val="00667A06"/>
    <w:rsid w:val="00683C9E"/>
    <w:rsid w:val="00697F84"/>
    <w:rsid w:val="006C222A"/>
    <w:rsid w:val="006E257F"/>
    <w:rsid w:val="006E7AC4"/>
    <w:rsid w:val="006E7EA4"/>
    <w:rsid w:val="006F6247"/>
    <w:rsid w:val="007006B6"/>
    <w:rsid w:val="0070294D"/>
    <w:rsid w:val="0072428A"/>
    <w:rsid w:val="00737BD8"/>
    <w:rsid w:val="007452AB"/>
    <w:rsid w:val="00765FA6"/>
    <w:rsid w:val="007A2C05"/>
    <w:rsid w:val="007A43F5"/>
    <w:rsid w:val="007C6079"/>
    <w:rsid w:val="007C733F"/>
    <w:rsid w:val="007D344D"/>
    <w:rsid w:val="007F524B"/>
    <w:rsid w:val="007F5BDF"/>
    <w:rsid w:val="007F5EE5"/>
    <w:rsid w:val="008124C7"/>
    <w:rsid w:val="0083674A"/>
    <w:rsid w:val="0084326F"/>
    <w:rsid w:val="0085285D"/>
    <w:rsid w:val="00853973"/>
    <w:rsid w:val="00867184"/>
    <w:rsid w:val="00880675"/>
    <w:rsid w:val="008955BD"/>
    <w:rsid w:val="008979F3"/>
    <w:rsid w:val="008B1140"/>
    <w:rsid w:val="008D6145"/>
    <w:rsid w:val="008D747C"/>
    <w:rsid w:val="008E1807"/>
    <w:rsid w:val="008E2932"/>
    <w:rsid w:val="008E35E9"/>
    <w:rsid w:val="0090054A"/>
    <w:rsid w:val="0090317F"/>
    <w:rsid w:val="009302A4"/>
    <w:rsid w:val="00931A42"/>
    <w:rsid w:val="009507D8"/>
    <w:rsid w:val="00960EB5"/>
    <w:rsid w:val="00993EAA"/>
    <w:rsid w:val="00996C61"/>
    <w:rsid w:val="009B0D98"/>
    <w:rsid w:val="009B2256"/>
    <w:rsid w:val="009C428B"/>
    <w:rsid w:val="009D1504"/>
    <w:rsid w:val="009D2C12"/>
    <w:rsid w:val="009E216D"/>
    <w:rsid w:val="009E3C5B"/>
    <w:rsid w:val="009E5171"/>
    <w:rsid w:val="00A05F6F"/>
    <w:rsid w:val="00A06420"/>
    <w:rsid w:val="00A064B3"/>
    <w:rsid w:val="00A12491"/>
    <w:rsid w:val="00A17758"/>
    <w:rsid w:val="00A26463"/>
    <w:rsid w:val="00A35419"/>
    <w:rsid w:val="00A44738"/>
    <w:rsid w:val="00A50A11"/>
    <w:rsid w:val="00A52410"/>
    <w:rsid w:val="00A57895"/>
    <w:rsid w:val="00A640A8"/>
    <w:rsid w:val="00A65EA5"/>
    <w:rsid w:val="00A84D22"/>
    <w:rsid w:val="00A853BA"/>
    <w:rsid w:val="00A85539"/>
    <w:rsid w:val="00A91263"/>
    <w:rsid w:val="00A95222"/>
    <w:rsid w:val="00AA64E8"/>
    <w:rsid w:val="00AB46F7"/>
    <w:rsid w:val="00AC4EAF"/>
    <w:rsid w:val="00AC64C8"/>
    <w:rsid w:val="00AE0A60"/>
    <w:rsid w:val="00AF656C"/>
    <w:rsid w:val="00B3589D"/>
    <w:rsid w:val="00B6113B"/>
    <w:rsid w:val="00B63045"/>
    <w:rsid w:val="00B77E55"/>
    <w:rsid w:val="00B90206"/>
    <w:rsid w:val="00BA28B9"/>
    <w:rsid w:val="00BA59FE"/>
    <w:rsid w:val="00BA67BA"/>
    <w:rsid w:val="00BB4009"/>
    <w:rsid w:val="00BB46BC"/>
    <w:rsid w:val="00BC1EC3"/>
    <w:rsid w:val="00BC68A1"/>
    <w:rsid w:val="00BD43A8"/>
    <w:rsid w:val="00BD6522"/>
    <w:rsid w:val="00C064B1"/>
    <w:rsid w:val="00C108AC"/>
    <w:rsid w:val="00C20F50"/>
    <w:rsid w:val="00C24B6E"/>
    <w:rsid w:val="00C52760"/>
    <w:rsid w:val="00C55AAD"/>
    <w:rsid w:val="00C64A31"/>
    <w:rsid w:val="00C66B41"/>
    <w:rsid w:val="00C67C76"/>
    <w:rsid w:val="00C81D55"/>
    <w:rsid w:val="00C861E6"/>
    <w:rsid w:val="00CA5EAF"/>
    <w:rsid w:val="00CB1869"/>
    <w:rsid w:val="00CB2089"/>
    <w:rsid w:val="00CB54D6"/>
    <w:rsid w:val="00CE2A16"/>
    <w:rsid w:val="00CF332C"/>
    <w:rsid w:val="00CF4089"/>
    <w:rsid w:val="00CF5A01"/>
    <w:rsid w:val="00D06A10"/>
    <w:rsid w:val="00D207A0"/>
    <w:rsid w:val="00D26527"/>
    <w:rsid w:val="00D515D0"/>
    <w:rsid w:val="00D6315F"/>
    <w:rsid w:val="00D857D5"/>
    <w:rsid w:val="00D918EE"/>
    <w:rsid w:val="00D9224D"/>
    <w:rsid w:val="00D93E1D"/>
    <w:rsid w:val="00DB1DCC"/>
    <w:rsid w:val="00DB367C"/>
    <w:rsid w:val="00DB3C1F"/>
    <w:rsid w:val="00DC5BF0"/>
    <w:rsid w:val="00DD41B9"/>
    <w:rsid w:val="00E22823"/>
    <w:rsid w:val="00E4089D"/>
    <w:rsid w:val="00E42C22"/>
    <w:rsid w:val="00E71DC1"/>
    <w:rsid w:val="00E92D2D"/>
    <w:rsid w:val="00EA7DFE"/>
    <w:rsid w:val="00EB1BBA"/>
    <w:rsid w:val="00EC51E6"/>
    <w:rsid w:val="00ED0575"/>
    <w:rsid w:val="00EE1636"/>
    <w:rsid w:val="00EE519C"/>
    <w:rsid w:val="00F008ED"/>
    <w:rsid w:val="00F16670"/>
    <w:rsid w:val="00F4306F"/>
    <w:rsid w:val="00F47D59"/>
    <w:rsid w:val="00F56621"/>
    <w:rsid w:val="00F67A8A"/>
    <w:rsid w:val="00F71D52"/>
    <w:rsid w:val="00F743EE"/>
    <w:rsid w:val="00F77CFC"/>
    <w:rsid w:val="00F91A39"/>
    <w:rsid w:val="00F940FE"/>
    <w:rsid w:val="00FA242B"/>
    <w:rsid w:val="00FB0EB1"/>
    <w:rsid w:val="00FC2812"/>
    <w:rsid w:val="00FD44D1"/>
    <w:rsid w:val="00FE0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semiHidden/>
    <w:unhideWhenUsed/>
    <w:rsid w:val="000663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semiHidden/>
    <w:unhideWhenUsed/>
    <w:rsid w:val="00066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983004341">
      <w:bodyDiv w:val="1"/>
      <w:marLeft w:val="0"/>
      <w:marRight w:val="0"/>
      <w:marTop w:val="0"/>
      <w:marBottom w:val="0"/>
      <w:divBdr>
        <w:top w:val="none" w:sz="0" w:space="0" w:color="auto"/>
        <w:left w:val="none" w:sz="0" w:space="0" w:color="auto"/>
        <w:bottom w:val="none" w:sz="0" w:space="0" w:color="auto"/>
        <w:right w:val="none" w:sz="0" w:space="0" w:color="auto"/>
      </w:divBdr>
    </w:div>
    <w:div w:id="1135216085">
      <w:bodyDiv w:val="1"/>
      <w:marLeft w:val="0"/>
      <w:marRight w:val="0"/>
      <w:marTop w:val="0"/>
      <w:marBottom w:val="0"/>
      <w:divBdr>
        <w:top w:val="none" w:sz="0" w:space="0" w:color="auto"/>
        <w:left w:val="none" w:sz="0" w:space="0" w:color="auto"/>
        <w:bottom w:val="none" w:sz="0" w:space="0" w:color="auto"/>
        <w:right w:val="none" w:sz="0" w:space="0" w:color="auto"/>
      </w:divBdr>
    </w:div>
    <w:div w:id="1179349621">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 w:id="1834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292995"/>
    <w:rsid w:val="00461B3A"/>
    <w:rsid w:val="00492B6A"/>
    <w:rsid w:val="00600894"/>
    <w:rsid w:val="006A25DD"/>
    <w:rsid w:val="007D6325"/>
    <w:rsid w:val="007F6977"/>
    <w:rsid w:val="00815065"/>
    <w:rsid w:val="008624D3"/>
    <w:rsid w:val="00880E1B"/>
    <w:rsid w:val="008E0070"/>
    <w:rsid w:val="008F3DF4"/>
    <w:rsid w:val="009B4F8E"/>
    <w:rsid w:val="009C782F"/>
    <w:rsid w:val="009D2B51"/>
    <w:rsid w:val="00A12EAD"/>
    <w:rsid w:val="00BA6CB0"/>
    <w:rsid w:val="00CF0536"/>
    <w:rsid w:val="00D52621"/>
    <w:rsid w:val="00E21CF5"/>
    <w:rsid w:val="00E546CF"/>
    <w:rsid w:val="00E84E5F"/>
    <w:rsid w:val="00E85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963C-7234-420E-B63F-D62892F2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1127</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Isabelle Puisoye</cp:lastModifiedBy>
  <cp:revision>9</cp:revision>
  <cp:lastPrinted>2020-01-10T09:52:00Z</cp:lastPrinted>
  <dcterms:created xsi:type="dcterms:W3CDTF">2020-01-25T17:01:00Z</dcterms:created>
  <dcterms:modified xsi:type="dcterms:W3CDTF">2020-01-31T07:48:00Z</dcterms:modified>
</cp:coreProperties>
</file>